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8"/>
        <w:jc w:val="center"/>
        <w:rPr>
          <w:b/>
          <w:color w:val="auto"/>
        </w:rPr>
      </w:pPr>
      <w:r>
        <w:rPr>
          <w:b/>
          <w:color w:val="auto"/>
          <w:sz w:val="48"/>
          <w:lang w:val="zh-CN"/>
        </w:rPr>
        <w:t>目录</w:t>
      </w:r>
    </w:p>
    <w:p>
      <w:pPr>
        <w:pStyle w:val="17"/>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color w:val="auto"/>
          <w:sz w:val="24"/>
          <w:szCs w:val="24"/>
        </w:rPr>
      </w:pPr>
      <w:r>
        <w:rPr>
          <w:rFonts w:ascii="Times New Roman" w:hAnsi="Times New Roman"/>
          <w:color w:val="auto"/>
          <w:sz w:val="24"/>
          <w:szCs w:val="24"/>
        </w:rPr>
        <w:fldChar w:fldCharType="begin"/>
      </w:r>
      <w:r>
        <w:rPr>
          <w:rFonts w:ascii="Times New Roman" w:hAnsi="Times New Roman"/>
          <w:color w:val="auto"/>
          <w:sz w:val="24"/>
          <w:szCs w:val="24"/>
        </w:rPr>
        <w:instrText xml:space="preserve"> TOC \o "1-3" \h \z \u </w:instrText>
      </w:r>
      <w:r>
        <w:rPr>
          <w:rFonts w:ascii="Times New Roman" w:hAnsi="Times New Roman"/>
          <w:color w:val="auto"/>
          <w:sz w:val="24"/>
          <w:szCs w:val="24"/>
        </w:rPr>
        <w:fldChar w:fldCharType="separate"/>
      </w:r>
      <w:r>
        <w:rPr>
          <w:rFonts w:ascii="Times New Roman" w:hAnsi="Times New Roman"/>
          <w:color w:val="auto"/>
          <w:sz w:val="24"/>
          <w:szCs w:val="24"/>
        </w:rPr>
        <w:fldChar w:fldCharType="begin"/>
      </w:r>
      <w:r>
        <w:rPr>
          <w:rFonts w:ascii="Times New Roman" w:hAnsi="Times New Roman"/>
          <w:color w:val="auto"/>
          <w:sz w:val="24"/>
          <w:szCs w:val="24"/>
        </w:rPr>
        <w:instrText xml:space="preserve"> HYPERLINK \l _Toc4928 </w:instrText>
      </w:r>
      <w:r>
        <w:rPr>
          <w:rFonts w:ascii="Times New Roman" w:hAnsi="Times New Roman"/>
          <w:color w:val="auto"/>
          <w:sz w:val="24"/>
          <w:szCs w:val="24"/>
        </w:rPr>
        <w:fldChar w:fldCharType="separate"/>
      </w:r>
      <w:r>
        <w:rPr>
          <w:color w:val="auto"/>
          <w:sz w:val="24"/>
          <w:szCs w:val="24"/>
        </w:rPr>
        <w:t>表1项目基本情况</w:t>
      </w:r>
      <w:r>
        <w:rPr>
          <w:color w:val="auto"/>
          <w:sz w:val="24"/>
          <w:szCs w:val="24"/>
        </w:rPr>
        <w:tab/>
      </w:r>
      <w:r>
        <w:rPr>
          <w:color w:val="auto"/>
          <w:sz w:val="24"/>
          <w:szCs w:val="24"/>
        </w:rPr>
        <w:fldChar w:fldCharType="begin"/>
      </w:r>
      <w:r>
        <w:rPr>
          <w:color w:val="auto"/>
          <w:sz w:val="24"/>
          <w:szCs w:val="24"/>
        </w:rPr>
        <w:instrText xml:space="preserve"> PAGEREF _Toc4928 \h </w:instrText>
      </w:r>
      <w:r>
        <w:rPr>
          <w:color w:val="auto"/>
          <w:sz w:val="24"/>
          <w:szCs w:val="24"/>
        </w:rPr>
        <w:fldChar w:fldCharType="separate"/>
      </w:r>
      <w:r>
        <w:rPr>
          <w:color w:val="auto"/>
          <w:sz w:val="24"/>
          <w:szCs w:val="24"/>
        </w:rPr>
        <w:t>1</w:t>
      </w:r>
      <w:r>
        <w:rPr>
          <w:color w:val="auto"/>
          <w:sz w:val="24"/>
          <w:szCs w:val="24"/>
        </w:rPr>
        <w:fldChar w:fldCharType="end"/>
      </w:r>
      <w:r>
        <w:rPr>
          <w:rFonts w:ascii="Times New Roman" w:hAnsi="Times New Roman"/>
          <w:color w:val="auto"/>
          <w:sz w:val="24"/>
          <w:szCs w:val="24"/>
        </w:rPr>
        <w:fldChar w:fldCharType="end"/>
      </w:r>
    </w:p>
    <w:p>
      <w:pPr>
        <w:pStyle w:val="17"/>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color w:val="auto"/>
          <w:sz w:val="24"/>
          <w:szCs w:val="24"/>
        </w:rPr>
      </w:pPr>
      <w:r>
        <w:rPr>
          <w:rFonts w:ascii="Times New Roman" w:hAnsi="Times New Roman"/>
          <w:bCs/>
          <w:color w:val="auto"/>
          <w:sz w:val="24"/>
          <w:szCs w:val="24"/>
          <w:lang w:val="zh-CN"/>
        </w:rPr>
        <w:fldChar w:fldCharType="begin"/>
      </w:r>
      <w:r>
        <w:rPr>
          <w:rFonts w:ascii="Times New Roman" w:hAnsi="Times New Roman"/>
          <w:bCs/>
          <w:color w:val="auto"/>
          <w:sz w:val="24"/>
          <w:szCs w:val="24"/>
          <w:lang w:val="zh-CN"/>
        </w:rPr>
        <w:instrText xml:space="preserve"> HYPERLINK \l _Toc25210 </w:instrText>
      </w:r>
      <w:r>
        <w:rPr>
          <w:rFonts w:ascii="Times New Roman" w:hAnsi="Times New Roman"/>
          <w:bCs/>
          <w:color w:val="auto"/>
          <w:sz w:val="24"/>
          <w:szCs w:val="24"/>
          <w:lang w:val="zh-CN"/>
        </w:rPr>
        <w:fldChar w:fldCharType="separate"/>
      </w:r>
      <w:r>
        <w:rPr>
          <w:rFonts w:hint="eastAsia"/>
          <w:color w:val="auto"/>
          <w:sz w:val="24"/>
          <w:szCs w:val="24"/>
        </w:rPr>
        <w:t>表2放射源</w:t>
      </w:r>
      <w:r>
        <w:rPr>
          <w:color w:val="auto"/>
          <w:sz w:val="24"/>
          <w:szCs w:val="24"/>
        </w:rPr>
        <w:tab/>
      </w:r>
      <w:r>
        <w:rPr>
          <w:color w:val="auto"/>
          <w:sz w:val="24"/>
          <w:szCs w:val="24"/>
        </w:rPr>
        <w:fldChar w:fldCharType="begin"/>
      </w:r>
      <w:r>
        <w:rPr>
          <w:color w:val="auto"/>
          <w:sz w:val="24"/>
          <w:szCs w:val="24"/>
        </w:rPr>
        <w:instrText xml:space="preserve"> PAGEREF _Toc25210 \h </w:instrText>
      </w:r>
      <w:r>
        <w:rPr>
          <w:color w:val="auto"/>
          <w:sz w:val="24"/>
          <w:szCs w:val="24"/>
        </w:rPr>
        <w:fldChar w:fldCharType="separate"/>
      </w:r>
      <w:r>
        <w:rPr>
          <w:color w:val="auto"/>
          <w:sz w:val="24"/>
          <w:szCs w:val="24"/>
        </w:rPr>
        <w:t>6</w:t>
      </w:r>
      <w:r>
        <w:rPr>
          <w:color w:val="auto"/>
          <w:sz w:val="24"/>
          <w:szCs w:val="24"/>
        </w:rPr>
        <w:fldChar w:fldCharType="end"/>
      </w:r>
      <w:r>
        <w:rPr>
          <w:rFonts w:ascii="Times New Roman" w:hAnsi="Times New Roman"/>
          <w:bCs/>
          <w:color w:val="auto"/>
          <w:sz w:val="24"/>
          <w:szCs w:val="24"/>
          <w:lang w:val="zh-CN"/>
        </w:rPr>
        <w:fldChar w:fldCharType="end"/>
      </w:r>
    </w:p>
    <w:p>
      <w:pPr>
        <w:pStyle w:val="17"/>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color w:val="auto"/>
          <w:sz w:val="24"/>
          <w:szCs w:val="24"/>
        </w:rPr>
      </w:pPr>
      <w:r>
        <w:rPr>
          <w:rFonts w:ascii="Times New Roman" w:hAnsi="Times New Roman"/>
          <w:bCs/>
          <w:color w:val="auto"/>
          <w:sz w:val="24"/>
          <w:szCs w:val="24"/>
          <w:lang w:val="zh-CN"/>
        </w:rPr>
        <w:fldChar w:fldCharType="begin"/>
      </w:r>
      <w:r>
        <w:rPr>
          <w:rFonts w:ascii="Times New Roman" w:hAnsi="Times New Roman"/>
          <w:bCs/>
          <w:color w:val="auto"/>
          <w:sz w:val="24"/>
          <w:szCs w:val="24"/>
          <w:lang w:val="zh-CN"/>
        </w:rPr>
        <w:instrText xml:space="preserve"> HYPERLINK \l _Toc15883 </w:instrText>
      </w:r>
      <w:r>
        <w:rPr>
          <w:rFonts w:ascii="Times New Roman" w:hAnsi="Times New Roman"/>
          <w:bCs/>
          <w:color w:val="auto"/>
          <w:sz w:val="24"/>
          <w:szCs w:val="24"/>
          <w:lang w:val="zh-CN"/>
        </w:rPr>
        <w:fldChar w:fldCharType="separate"/>
      </w:r>
      <w:r>
        <w:rPr>
          <w:rFonts w:hint="eastAsia"/>
          <w:color w:val="auto"/>
          <w:sz w:val="24"/>
          <w:szCs w:val="24"/>
        </w:rPr>
        <w:t>表3非密封放射性物质</w:t>
      </w:r>
      <w:r>
        <w:rPr>
          <w:color w:val="auto"/>
          <w:sz w:val="24"/>
          <w:szCs w:val="24"/>
        </w:rPr>
        <w:tab/>
      </w:r>
      <w:r>
        <w:rPr>
          <w:color w:val="auto"/>
          <w:sz w:val="24"/>
          <w:szCs w:val="24"/>
        </w:rPr>
        <w:fldChar w:fldCharType="begin"/>
      </w:r>
      <w:r>
        <w:rPr>
          <w:color w:val="auto"/>
          <w:sz w:val="24"/>
          <w:szCs w:val="24"/>
        </w:rPr>
        <w:instrText xml:space="preserve"> PAGEREF _Toc15883 \h </w:instrText>
      </w:r>
      <w:r>
        <w:rPr>
          <w:color w:val="auto"/>
          <w:sz w:val="24"/>
          <w:szCs w:val="24"/>
        </w:rPr>
        <w:fldChar w:fldCharType="separate"/>
      </w:r>
      <w:r>
        <w:rPr>
          <w:color w:val="auto"/>
          <w:sz w:val="24"/>
          <w:szCs w:val="24"/>
        </w:rPr>
        <w:t>6</w:t>
      </w:r>
      <w:r>
        <w:rPr>
          <w:color w:val="auto"/>
          <w:sz w:val="24"/>
          <w:szCs w:val="24"/>
        </w:rPr>
        <w:fldChar w:fldCharType="end"/>
      </w:r>
      <w:r>
        <w:rPr>
          <w:rFonts w:ascii="Times New Roman" w:hAnsi="Times New Roman"/>
          <w:bCs/>
          <w:color w:val="auto"/>
          <w:sz w:val="24"/>
          <w:szCs w:val="24"/>
          <w:lang w:val="zh-CN"/>
        </w:rPr>
        <w:fldChar w:fldCharType="end"/>
      </w:r>
    </w:p>
    <w:p>
      <w:pPr>
        <w:pStyle w:val="17"/>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color w:val="auto"/>
          <w:sz w:val="24"/>
          <w:szCs w:val="24"/>
        </w:rPr>
      </w:pPr>
      <w:r>
        <w:rPr>
          <w:rFonts w:ascii="Times New Roman" w:hAnsi="Times New Roman"/>
          <w:bCs/>
          <w:color w:val="auto"/>
          <w:sz w:val="24"/>
          <w:szCs w:val="24"/>
          <w:lang w:val="zh-CN"/>
        </w:rPr>
        <w:fldChar w:fldCharType="begin"/>
      </w:r>
      <w:r>
        <w:rPr>
          <w:rFonts w:ascii="Times New Roman" w:hAnsi="Times New Roman"/>
          <w:bCs/>
          <w:color w:val="auto"/>
          <w:sz w:val="24"/>
          <w:szCs w:val="24"/>
          <w:lang w:val="zh-CN"/>
        </w:rPr>
        <w:instrText xml:space="preserve"> HYPERLINK \l _Toc10573 </w:instrText>
      </w:r>
      <w:r>
        <w:rPr>
          <w:rFonts w:ascii="Times New Roman" w:hAnsi="Times New Roman"/>
          <w:bCs/>
          <w:color w:val="auto"/>
          <w:sz w:val="24"/>
          <w:szCs w:val="24"/>
          <w:lang w:val="zh-CN"/>
        </w:rPr>
        <w:fldChar w:fldCharType="separate"/>
      </w:r>
      <w:r>
        <w:rPr>
          <w:rFonts w:hint="eastAsia"/>
          <w:color w:val="auto"/>
          <w:sz w:val="24"/>
          <w:szCs w:val="24"/>
        </w:rPr>
        <w:t>表4射线装置</w:t>
      </w:r>
      <w:r>
        <w:rPr>
          <w:color w:val="auto"/>
          <w:sz w:val="24"/>
          <w:szCs w:val="24"/>
        </w:rPr>
        <w:tab/>
      </w:r>
      <w:r>
        <w:rPr>
          <w:color w:val="auto"/>
          <w:sz w:val="24"/>
          <w:szCs w:val="24"/>
        </w:rPr>
        <w:fldChar w:fldCharType="begin"/>
      </w:r>
      <w:r>
        <w:rPr>
          <w:color w:val="auto"/>
          <w:sz w:val="24"/>
          <w:szCs w:val="24"/>
        </w:rPr>
        <w:instrText xml:space="preserve"> PAGEREF _Toc10573 \h </w:instrText>
      </w:r>
      <w:r>
        <w:rPr>
          <w:color w:val="auto"/>
          <w:sz w:val="24"/>
          <w:szCs w:val="24"/>
        </w:rPr>
        <w:fldChar w:fldCharType="separate"/>
      </w:r>
      <w:r>
        <w:rPr>
          <w:color w:val="auto"/>
          <w:sz w:val="24"/>
          <w:szCs w:val="24"/>
        </w:rPr>
        <w:t>7</w:t>
      </w:r>
      <w:r>
        <w:rPr>
          <w:color w:val="auto"/>
          <w:sz w:val="24"/>
          <w:szCs w:val="24"/>
        </w:rPr>
        <w:fldChar w:fldCharType="end"/>
      </w:r>
      <w:r>
        <w:rPr>
          <w:rFonts w:ascii="Times New Roman" w:hAnsi="Times New Roman"/>
          <w:bCs/>
          <w:color w:val="auto"/>
          <w:sz w:val="24"/>
          <w:szCs w:val="24"/>
          <w:lang w:val="zh-CN"/>
        </w:rPr>
        <w:fldChar w:fldCharType="end"/>
      </w:r>
    </w:p>
    <w:p>
      <w:pPr>
        <w:pStyle w:val="17"/>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color w:val="auto"/>
          <w:sz w:val="24"/>
          <w:szCs w:val="24"/>
        </w:rPr>
      </w:pPr>
      <w:r>
        <w:rPr>
          <w:rFonts w:ascii="Times New Roman" w:hAnsi="Times New Roman"/>
          <w:bCs/>
          <w:color w:val="auto"/>
          <w:sz w:val="24"/>
          <w:szCs w:val="24"/>
          <w:lang w:val="zh-CN"/>
        </w:rPr>
        <w:fldChar w:fldCharType="begin"/>
      </w:r>
      <w:r>
        <w:rPr>
          <w:rFonts w:ascii="Times New Roman" w:hAnsi="Times New Roman"/>
          <w:bCs/>
          <w:color w:val="auto"/>
          <w:sz w:val="24"/>
          <w:szCs w:val="24"/>
          <w:lang w:val="zh-CN"/>
        </w:rPr>
        <w:instrText xml:space="preserve"> HYPERLINK \l _Toc1069 </w:instrText>
      </w:r>
      <w:r>
        <w:rPr>
          <w:rFonts w:ascii="Times New Roman" w:hAnsi="Times New Roman"/>
          <w:bCs/>
          <w:color w:val="auto"/>
          <w:sz w:val="24"/>
          <w:szCs w:val="24"/>
          <w:lang w:val="zh-CN"/>
        </w:rPr>
        <w:fldChar w:fldCharType="separate"/>
      </w:r>
      <w:r>
        <w:rPr>
          <w:rFonts w:hint="eastAsia"/>
          <w:color w:val="auto"/>
          <w:sz w:val="24"/>
          <w:szCs w:val="24"/>
        </w:rPr>
        <w:t>表5废弃物</w:t>
      </w:r>
      <w:r>
        <w:rPr>
          <w:color w:val="auto"/>
          <w:sz w:val="24"/>
          <w:szCs w:val="24"/>
        </w:rPr>
        <w:tab/>
      </w:r>
      <w:r>
        <w:rPr>
          <w:color w:val="auto"/>
          <w:sz w:val="24"/>
          <w:szCs w:val="24"/>
        </w:rPr>
        <w:fldChar w:fldCharType="begin"/>
      </w:r>
      <w:r>
        <w:rPr>
          <w:color w:val="auto"/>
          <w:sz w:val="24"/>
          <w:szCs w:val="24"/>
        </w:rPr>
        <w:instrText xml:space="preserve"> PAGEREF _Toc1069 \h </w:instrText>
      </w:r>
      <w:r>
        <w:rPr>
          <w:color w:val="auto"/>
          <w:sz w:val="24"/>
          <w:szCs w:val="24"/>
        </w:rPr>
        <w:fldChar w:fldCharType="separate"/>
      </w:r>
      <w:r>
        <w:rPr>
          <w:color w:val="auto"/>
          <w:sz w:val="24"/>
          <w:szCs w:val="24"/>
        </w:rPr>
        <w:t>8</w:t>
      </w:r>
      <w:r>
        <w:rPr>
          <w:color w:val="auto"/>
          <w:sz w:val="24"/>
          <w:szCs w:val="24"/>
        </w:rPr>
        <w:fldChar w:fldCharType="end"/>
      </w:r>
      <w:r>
        <w:rPr>
          <w:rFonts w:ascii="Times New Roman" w:hAnsi="Times New Roman"/>
          <w:bCs/>
          <w:color w:val="auto"/>
          <w:sz w:val="24"/>
          <w:szCs w:val="24"/>
          <w:lang w:val="zh-CN"/>
        </w:rPr>
        <w:fldChar w:fldCharType="end"/>
      </w:r>
    </w:p>
    <w:p>
      <w:pPr>
        <w:pStyle w:val="17"/>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color w:val="auto"/>
          <w:sz w:val="24"/>
          <w:szCs w:val="24"/>
        </w:rPr>
      </w:pPr>
      <w:r>
        <w:rPr>
          <w:rFonts w:ascii="Times New Roman" w:hAnsi="Times New Roman"/>
          <w:bCs/>
          <w:color w:val="auto"/>
          <w:sz w:val="24"/>
          <w:szCs w:val="24"/>
          <w:lang w:val="zh-CN"/>
        </w:rPr>
        <w:fldChar w:fldCharType="begin"/>
      </w:r>
      <w:r>
        <w:rPr>
          <w:rFonts w:ascii="Times New Roman" w:hAnsi="Times New Roman"/>
          <w:bCs/>
          <w:color w:val="auto"/>
          <w:sz w:val="24"/>
          <w:szCs w:val="24"/>
          <w:lang w:val="zh-CN"/>
        </w:rPr>
        <w:instrText xml:space="preserve"> HYPERLINK \l _Toc16776 </w:instrText>
      </w:r>
      <w:r>
        <w:rPr>
          <w:rFonts w:ascii="Times New Roman" w:hAnsi="Times New Roman"/>
          <w:bCs/>
          <w:color w:val="auto"/>
          <w:sz w:val="24"/>
          <w:szCs w:val="24"/>
          <w:lang w:val="zh-CN"/>
        </w:rPr>
        <w:fldChar w:fldCharType="separate"/>
      </w:r>
      <w:r>
        <w:rPr>
          <w:rFonts w:hint="eastAsia"/>
          <w:color w:val="auto"/>
          <w:sz w:val="24"/>
          <w:szCs w:val="24"/>
        </w:rPr>
        <w:t>表6评价依据</w:t>
      </w:r>
      <w:r>
        <w:rPr>
          <w:color w:val="auto"/>
          <w:sz w:val="24"/>
          <w:szCs w:val="24"/>
        </w:rPr>
        <w:tab/>
      </w:r>
      <w:r>
        <w:rPr>
          <w:color w:val="auto"/>
          <w:sz w:val="24"/>
          <w:szCs w:val="24"/>
        </w:rPr>
        <w:fldChar w:fldCharType="begin"/>
      </w:r>
      <w:r>
        <w:rPr>
          <w:color w:val="auto"/>
          <w:sz w:val="24"/>
          <w:szCs w:val="24"/>
        </w:rPr>
        <w:instrText xml:space="preserve"> PAGEREF _Toc16776 \h </w:instrText>
      </w:r>
      <w:r>
        <w:rPr>
          <w:color w:val="auto"/>
          <w:sz w:val="24"/>
          <w:szCs w:val="24"/>
        </w:rPr>
        <w:fldChar w:fldCharType="separate"/>
      </w:r>
      <w:r>
        <w:rPr>
          <w:color w:val="auto"/>
          <w:sz w:val="24"/>
          <w:szCs w:val="24"/>
        </w:rPr>
        <w:t>9</w:t>
      </w:r>
      <w:r>
        <w:rPr>
          <w:color w:val="auto"/>
          <w:sz w:val="24"/>
          <w:szCs w:val="24"/>
        </w:rPr>
        <w:fldChar w:fldCharType="end"/>
      </w:r>
      <w:r>
        <w:rPr>
          <w:rFonts w:ascii="Times New Roman" w:hAnsi="Times New Roman"/>
          <w:bCs/>
          <w:color w:val="auto"/>
          <w:sz w:val="24"/>
          <w:szCs w:val="24"/>
          <w:lang w:val="zh-CN"/>
        </w:rPr>
        <w:fldChar w:fldCharType="end"/>
      </w:r>
    </w:p>
    <w:p>
      <w:pPr>
        <w:pStyle w:val="17"/>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color w:val="auto"/>
          <w:sz w:val="24"/>
          <w:szCs w:val="24"/>
        </w:rPr>
      </w:pPr>
      <w:r>
        <w:rPr>
          <w:rFonts w:ascii="Times New Roman" w:hAnsi="Times New Roman"/>
          <w:bCs/>
          <w:color w:val="auto"/>
          <w:sz w:val="24"/>
          <w:szCs w:val="24"/>
          <w:lang w:val="zh-CN"/>
        </w:rPr>
        <w:fldChar w:fldCharType="begin"/>
      </w:r>
      <w:r>
        <w:rPr>
          <w:rFonts w:ascii="Times New Roman" w:hAnsi="Times New Roman"/>
          <w:bCs/>
          <w:color w:val="auto"/>
          <w:sz w:val="24"/>
          <w:szCs w:val="24"/>
          <w:lang w:val="zh-CN"/>
        </w:rPr>
        <w:instrText xml:space="preserve"> HYPERLINK \l _Toc32733 </w:instrText>
      </w:r>
      <w:r>
        <w:rPr>
          <w:rFonts w:ascii="Times New Roman" w:hAnsi="Times New Roman"/>
          <w:bCs/>
          <w:color w:val="auto"/>
          <w:sz w:val="24"/>
          <w:szCs w:val="24"/>
          <w:lang w:val="zh-CN"/>
        </w:rPr>
        <w:fldChar w:fldCharType="separate"/>
      </w:r>
      <w:r>
        <w:rPr>
          <w:rFonts w:hint="eastAsia"/>
          <w:color w:val="auto"/>
          <w:sz w:val="24"/>
          <w:szCs w:val="24"/>
        </w:rPr>
        <w:t>表7保护目标与评价标准</w:t>
      </w:r>
      <w:r>
        <w:rPr>
          <w:color w:val="auto"/>
          <w:sz w:val="24"/>
          <w:szCs w:val="24"/>
        </w:rPr>
        <w:tab/>
      </w:r>
      <w:r>
        <w:rPr>
          <w:color w:val="auto"/>
          <w:sz w:val="24"/>
          <w:szCs w:val="24"/>
        </w:rPr>
        <w:fldChar w:fldCharType="begin"/>
      </w:r>
      <w:r>
        <w:rPr>
          <w:color w:val="auto"/>
          <w:sz w:val="24"/>
          <w:szCs w:val="24"/>
        </w:rPr>
        <w:instrText xml:space="preserve"> PAGEREF _Toc32733 \h </w:instrText>
      </w:r>
      <w:r>
        <w:rPr>
          <w:color w:val="auto"/>
          <w:sz w:val="24"/>
          <w:szCs w:val="24"/>
        </w:rPr>
        <w:fldChar w:fldCharType="separate"/>
      </w:r>
      <w:r>
        <w:rPr>
          <w:color w:val="auto"/>
          <w:sz w:val="24"/>
          <w:szCs w:val="24"/>
        </w:rPr>
        <w:t>11</w:t>
      </w:r>
      <w:r>
        <w:rPr>
          <w:color w:val="auto"/>
          <w:sz w:val="24"/>
          <w:szCs w:val="24"/>
        </w:rPr>
        <w:fldChar w:fldCharType="end"/>
      </w:r>
      <w:r>
        <w:rPr>
          <w:rFonts w:ascii="Times New Roman" w:hAnsi="Times New Roman"/>
          <w:bCs/>
          <w:color w:val="auto"/>
          <w:sz w:val="24"/>
          <w:szCs w:val="24"/>
          <w:lang w:val="zh-CN"/>
        </w:rPr>
        <w:fldChar w:fldCharType="end"/>
      </w:r>
    </w:p>
    <w:p>
      <w:pPr>
        <w:pStyle w:val="17"/>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color w:val="auto"/>
          <w:sz w:val="24"/>
          <w:szCs w:val="24"/>
        </w:rPr>
      </w:pPr>
      <w:r>
        <w:rPr>
          <w:rFonts w:ascii="Times New Roman" w:hAnsi="Times New Roman"/>
          <w:bCs/>
          <w:color w:val="auto"/>
          <w:sz w:val="24"/>
          <w:szCs w:val="24"/>
          <w:lang w:val="zh-CN"/>
        </w:rPr>
        <w:fldChar w:fldCharType="begin"/>
      </w:r>
      <w:r>
        <w:rPr>
          <w:rFonts w:ascii="Times New Roman" w:hAnsi="Times New Roman"/>
          <w:bCs/>
          <w:color w:val="auto"/>
          <w:sz w:val="24"/>
          <w:szCs w:val="24"/>
          <w:lang w:val="zh-CN"/>
        </w:rPr>
        <w:instrText xml:space="preserve"> HYPERLINK \l _Toc26691 </w:instrText>
      </w:r>
      <w:r>
        <w:rPr>
          <w:rFonts w:ascii="Times New Roman" w:hAnsi="Times New Roman"/>
          <w:bCs/>
          <w:color w:val="auto"/>
          <w:sz w:val="24"/>
          <w:szCs w:val="24"/>
          <w:lang w:val="zh-CN"/>
        </w:rPr>
        <w:fldChar w:fldCharType="separate"/>
      </w:r>
      <w:r>
        <w:rPr>
          <w:rFonts w:hint="eastAsia"/>
          <w:color w:val="auto"/>
          <w:sz w:val="24"/>
          <w:szCs w:val="24"/>
        </w:rPr>
        <w:t>表8环境质量和辐射现状</w:t>
      </w:r>
      <w:r>
        <w:rPr>
          <w:color w:val="auto"/>
          <w:sz w:val="24"/>
          <w:szCs w:val="24"/>
        </w:rPr>
        <w:tab/>
      </w:r>
      <w:r>
        <w:rPr>
          <w:color w:val="auto"/>
          <w:sz w:val="24"/>
          <w:szCs w:val="24"/>
        </w:rPr>
        <w:fldChar w:fldCharType="begin"/>
      </w:r>
      <w:r>
        <w:rPr>
          <w:color w:val="auto"/>
          <w:sz w:val="24"/>
          <w:szCs w:val="24"/>
        </w:rPr>
        <w:instrText xml:space="preserve"> PAGEREF _Toc26691 \h </w:instrText>
      </w:r>
      <w:r>
        <w:rPr>
          <w:color w:val="auto"/>
          <w:sz w:val="24"/>
          <w:szCs w:val="24"/>
        </w:rPr>
        <w:fldChar w:fldCharType="separate"/>
      </w:r>
      <w:r>
        <w:rPr>
          <w:color w:val="auto"/>
          <w:sz w:val="24"/>
          <w:szCs w:val="24"/>
        </w:rPr>
        <w:t>14</w:t>
      </w:r>
      <w:r>
        <w:rPr>
          <w:color w:val="auto"/>
          <w:sz w:val="24"/>
          <w:szCs w:val="24"/>
        </w:rPr>
        <w:fldChar w:fldCharType="end"/>
      </w:r>
      <w:r>
        <w:rPr>
          <w:rFonts w:ascii="Times New Roman" w:hAnsi="Times New Roman"/>
          <w:bCs/>
          <w:color w:val="auto"/>
          <w:sz w:val="24"/>
          <w:szCs w:val="24"/>
          <w:lang w:val="zh-CN"/>
        </w:rPr>
        <w:fldChar w:fldCharType="end"/>
      </w:r>
    </w:p>
    <w:p>
      <w:pPr>
        <w:pStyle w:val="17"/>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color w:val="auto"/>
          <w:sz w:val="24"/>
          <w:szCs w:val="24"/>
        </w:rPr>
      </w:pPr>
      <w:r>
        <w:rPr>
          <w:rFonts w:ascii="Times New Roman" w:hAnsi="Times New Roman"/>
          <w:bCs/>
          <w:color w:val="auto"/>
          <w:sz w:val="24"/>
          <w:szCs w:val="24"/>
          <w:lang w:val="zh-CN"/>
        </w:rPr>
        <w:fldChar w:fldCharType="begin"/>
      </w:r>
      <w:r>
        <w:rPr>
          <w:rFonts w:ascii="Times New Roman" w:hAnsi="Times New Roman"/>
          <w:bCs/>
          <w:color w:val="auto"/>
          <w:sz w:val="24"/>
          <w:szCs w:val="24"/>
          <w:lang w:val="zh-CN"/>
        </w:rPr>
        <w:instrText xml:space="preserve"> HYPERLINK \l _Toc5711 </w:instrText>
      </w:r>
      <w:r>
        <w:rPr>
          <w:rFonts w:ascii="Times New Roman" w:hAnsi="Times New Roman"/>
          <w:bCs/>
          <w:color w:val="auto"/>
          <w:sz w:val="24"/>
          <w:szCs w:val="24"/>
          <w:lang w:val="zh-CN"/>
        </w:rPr>
        <w:fldChar w:fldCharType="separate"/>
      </w:r>
      <w:r>
        <w:rPr>
          <w:rFonts w:hint="eastAsia"/>
          <w:color w:val="auto"/>
          <w:sz w:val="24"/>
          <w:szCs w:val="24"/>
        </w:rPr>
        <w:t>表9项目工程分析与源项</w:t>
      </w:r>
      <w:r>
        <w:rPr>
          <w:color w:val="auto"/>
          <w:sz w:val="24"/>
          <w:szCs w:val="24"/>
        </w:rPr>
        <w:tab/>
      </w:r>
      <w:r>
        <w:rPr>
          <w:color w:val="auto"/>
          <w:sz w:val="24"/>
          <w:szCs w:val="24"/>
        </w:rPr>
        <w:fldChar w:fldCharType="begin"/>
      </w:r>
      <w:r>
        <w:rPr>
          <w:color w:val="auto"/>
          <w:sz w:val="24"/>
          <w:szCs w:val="24"/>
        </w:rPr>
        <w:instrText xml:space="preserve"> PAGEREF _Toc5711 \h </w:instrText>
      </w:r>
      <w:r>
        <w:rPr>
          <w:color w:val="auto"/>
          <w:sz w:val="24"/>
          <w:szCs w:val="24"/>
        </w:rPr>
        <w:fldChar w:fldCharType="separate"/>
      </w:r>
      <w:r>
        <w:rPr>
          <w:color w:val="auto"/>
          <w:sz w:val="24"/>
          <w:szCs w:val="24"/>
        </w:rPr>
        <w:t>16</w:t>
      </w:r>
      <w:r>
        <w:rPr>
          <w:color w:val="auto"/>
          <w:sz w:val="24"/>
          <w:szCs w:val="24"/>
        </w:rPr>
        <w:fldChar w:fldCharType="end"/>
      </w:r>
      <w:r>
        <w:rPr>
          <w:rFonts w:ascii="Times New Roman" w:hAnsi="Times New Roman"/>
          <w:bCs/>
          <w:color w:val="auto"/>
          <w:sz w:val="24"/>
          <w:szCs w:val="24"/>
          <w:lang w:val="zh-CN"/>
        </w:rPr>
        <w:fldChar w:fldCharType="end"/>
      </w:r>
    </w:p>
    <w:p>
      <w:pPr>
        <w:pStyle w:val="17"/>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color w:val="auto"/>
          <w:sz w:val="24"/>
          <w:szCs w:val="24"/>
        </w:rPr>
      </w:pPr>
      <w:r>
        <w:rPr>
          <w:rFonts w:ascii="Times New Roman" w:hAnsi="Times New Roman"/>
          <w:bCs/>
          <w:color w:val="auto"/>
          <w:sz w:val="24"/>
          <w:szCs w:val="24"/>
          <w:lang w:val="zh-CN"/>
        </w:rPr>
        <w:fldChar w:fldCharType="begin"/>
      </w:r>
      <w:r>
        <w:rPr>
          <w:rFonts w:ascii="Times New Roman" w:hAnsi="Times New Roman"/>
          <w:bCs/>
          <w:color w:val="auto"/>
          <w:sz w:val="24"/>
          <w:szCs w:val="24"/>
          <w:lang w:val="zh-CN"/>
        </w:rPr>
        <w:instrText xml:space="preserve"> HYPERLINK \l _Toc8735 </w:instrText>
      </w:r>
      <w:r>
        <w:rPr>
          <w:rFonts w:ascii="Times New Roman" w:hAnsi="Times New Roman"/>
          <w:bCs/>
          <w:color w:val="auto"/>
          <w:sz w:val="24"/>
          <w:szCs w:val="24"/>
          <w:lang w:val="zh-CN"/>
        </w:rPr>
        <w:fldChar w:fldCharType="separate"/>
      </w:r>
      <w:r>
        <w:rPr>
          <w:rFonts w:hint="eastAsia"/>
          <w:color w:val="auto"/>
          <w:sz w:val="24"/>
          <w:szCs w:val="24"/>
        </w:rPr>
        <w:t>表10辐射安全与防护</w:t>
      </w:r>
      <w:r>
        <w:rPr>
          <w:color w:val="auto"/>
          <w:sz w:val="24"/>
          <w:szCs w:val="24"/>
        </w:rPr>
        <w:tab/>
      </w:r>
      <w:r>
        <w:rPr>
          <w:color w:val="auto"/>
          <w:sz w:val="24"/>
          <w:szCs w:val="24"/>
        </w:rPr>
        <w:fldChar w:fldCharType="begin"/>
      </w:r>
      <w:r>
        <w:rPr>
          <w:color w:val="auto"/>
          <w:sz w:val="24"/>
          <w:szCs w:val="24"/>
        </w:rPr>
        <w:instrText xml:space="preserve"> PAGEREF _Toc8735 \h </w:instrText>
      </w:r>
      <w:r>
        <w:rPr>
          <w:color w:val="auto"/>
          <w:sz w:val="24"/>
          <w:szCs w:val="24"/>
        </w:rPr>
        <w:fldChar w:fldCharType="separate"/>
      </w:r>
      <w:r>
        <w:rPr>
          <w:color w:val="auto"/>
          <w:sz w:val="24"/>
          <w:szCs w:val="24"/>
        </w:rPr>
        <w:t>20</w:t>
      </w:r>
      <w:r>
        <w:rPr>
          <w:color w:val="auto"/>
          <w:sz w:val="24"/>
          <w:szCs w:val="24"/>
        </w:rPr>
        <w:fldChar w:fldCharType="end"/>
      </w:r>
      <w:r>
        <w:rPr>
          <w:rFonts w:ascii="Times New Roman" w:hAnsi="Times New Roman"/>
          <w:bCs/>
          <w:color w:val="auto"/>
          <w:sz w:val="24"/>
          <w:szCs w:val="24"/>
          <w:lang w:val="zh-CN"/>
        </w:rPr>
        <w:fldChar w:fldCharType="end"/>
      </w:r>
    </w:p>
    <w:p>
      <w:pPr>
        <w:pStyle w:val="17"/>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color w:val="auto"/>
          <w:sz w:val="24"/>
          <w:szCs w:val="24"/>
        </w:rPr>
      </w:pPr>
      <w:r>
        <w:rPr>
          <w:rFonts w:ascii="Times New Roman" w:hAnsi="Times New Roman"/>
          <w:bCs/>
          <w:color w:val="auto"/>
          <w:sz w:val="24"/>
          <w:szCs w:val="24"/>
          <w:lang w:val="zh-CN"/>
        </w:rPr>
        <w:fldChar w:fldCharType="begin"/>
      </w:r>
      <w:r>
        <w:rPr>
          <w:rFonts w:ascii="Times New Roman" w:hAnsi="Times New Roman"/>
          <w:bCs/>
          <w:color w:val="auto"/>
          <w:sz w:val="24"/>
          <w:szCs w:val="24"/>
          <w:lang w:val="zh-CN"/>
        </w:rPr>
        <w:instrText xml:space="preserve"> HYPERLINK \l _Toc6600 </w:instrText>
      </w:r>
      <w:r>
        <w:rPr>
          <w:rFonts w:ascii="Times New Roman" w:hAnsi="Times New Roman"/>
          <w:bCs/>
          <w:color w:val="auto"/>
          <w:sz w:val="24"/>
          <w:szCs w:val="24"/>
          <w:lang w:val="zh-CN"/>
        </w:rPr>
        <w:fldChar w:fldCharType="separate"/>
      </w:r>
      <w:r>
        <w:rPr>
          <w:rFonts w:hint="eastAsia"/>
          <w:color w:val="auto"/>
          <w:sz w:val="24"/>
          <w:szCs w:val="24"/>
        </w:rPr>
        <w:t>表11环境影响分析</w:t>
      </w:r>
      <w:r>
        <w:rPr>
          <w:color w:val="auto"/>
          <w:sz w:val="24"/>
          <w:szCs w:val="24"/>
        </w:rPr>
        <w:tab/>
      </w:r>
      <w:r>
        <w:rPr>
          <w:color w:val="auto"/>
          <w:sz w:val="24"/>
          <w:szCs w:val="24"/>
        </w:rPr>
        <w:fldChar w:fldCharType="begin"/>
      </w:r>
      <w:r>
        <w:rPr>
          <w:color w:val="auto"/>
          <w:sz w:val="24"/>
          <w:szCs w:val="24"/>
        </w:rPr>
        <w:instrText xml:space="preserve"> PAGEREF _Toc6600 \h </w:instrText>
      </w:r>
      <w:r>
        <w:rPr>
          <w:color w:val="auto"/>
          <w:sz w:val="24"/>
          <w:szCs w:val="24"/>
        </w:rPr>
        <w:fldChar w:fldCharType="separate"/>
      </w:r>
      <w:r>
        <w:rPr>
          <w:color w:val="auto"/>
          <w:sz w:val="24"/>
          <w:szCs w:val="24"/>
        </w:rPr>
        <w:t>27</w:t>
      </w:r>
      <w:r>
        <w:rPr>
          <w:color w:val="auto"/>
          <w:sz w:val="24"/>
          <w:szCs w:val="24"/>
        </w:rPr>
        <w:fldChar w:fldCharType="end"/>
      </w:r>
      <w:r>
        <w:rPr>
          <w:rFonts w:ascii="Times New Roman" w:hAnsi="Times New Roman"/>
          <w:bCs/>
          <w:color w:val="auto"/>
          <w:sz w:val="24"/>
          <w:szCs w:val="24"/>
          <w:lang w:val="zh-CN"/>
        </w:rPr>
        <w:fldChar w:fldCharType="end"/>
      </w:r>
    </w:p>
    <w:p>
      <w:pPr>
        <w:pStyle w:val="17"/>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color w:val="auto"/>
          <w:sz w:val="24"/>
          <w:szCs w:val="24"/>
        </w:rPr>
      </w:pPr>
      <w:r>
        <w:rPr>
          <w:rFonts w:ascii="Times New Roman" w:hAnsi="Times New Roman"/>
          <w:bCs/>
          <w:color w:val="auto"/>
          <w:sz w:val="24"/>
          <w:szCs w:val="24"/>
          <w:lang w:val="zh-CN"/>
        </w:rPr>
        <w:fldChar w:fldCharType="begin"/>
      </w:r>
      <w:r>
        <w:rPr>
          <w:rFonts w:ascii="Times New Roman" w:hAnsi="Times New Roman"/>
          <w:bCs/>
          <w:color w:val="auto"/>
          <w:sz w:val="24"/>
          <w:szCs w:val="24"/>
          <w:lang w:val="zh-CN"/>
        </w:rPr>
        <w:instrText xml:space="preserve"> HYPERLINK \l _Toc2740 </w:instrText>
      </w:r>
      <w:r>
        <w:rPr>
          <w:rFonts w:ascii="Times New Roman" w:hAnsi="Times New Roman"/>
          <w:bCs/>
          <w:color w:val="auto"/>
          <w:sz w:val="24"/>
          <w:szCs w:val="24"/>
          <w:lang w:val="zh-CN"/>
        </w:rPr>
        <w:fldChar w:fldCharType="separate"/>
      </w:r>
      <w:r>
        <w:rPr>
          <w:rFonts w:hint="eastAsia"/>
          <w:color w:val="auto"/>
          <w:sz w:val="24"/>
          <w:szCs w:val="24"/>
        </w:rPr>
        <w:t>表12辐射安全管理</w:t>
      </w:r>
      <w:r>
        <w:rPr>
          <w:color w:val="auto"/>
          <w:sz w:val="24"/>
          <w:szCs w:val="24"/>
        </w:rPr>
        <w:tab/>
      </w:r>
      <w:r>
        <w:rPr>
          <w:color w:val="auto"/>
          <w:sz w:val="24"/>
          <w:szCs w:val="24"/>
        </w:rPr>
        <w:fldChar w:fldCharType="begin"/>
      </w:r>
      <w:r>
        <w:rPr>
          <w:color w:val="auto"/>
          <w:sz w:val="24"/>
          <w:szCs w:val="24"/>
        </w:rPr>
        <w:instrText xml:space="preserve"> PAGEREF _Toc2740 \h </w:instrText>
      </w:r>
      <w:r>
        <w:rPr>
          <w:color w:val="auto"/>
          <w:sz w:val="24"/>
          <w:szCs w:val="24"/>
        </w:rPr>
        <w:fldChar w:fldCharType="separate"/>
      </w:r>
      <w:r>
        <w:rPr>
          <w:color w:val="auto"/>
          <w:sz w:val="24"/>
          <w:szCs w:val="24"/>
        </w:rPr>
        <w:t>41</w:t>
      </w:r>
      <w:r>
        <w:rPr>
          <w:color w:val="auto"/>
          <w:sz w:val="24"/>
          <w:szCs w:val="24"/>
        </w:rPr>
        <w:fldChar w:fldCharType="end"/>
      </w:r>
      <w:r>
        <w:rPr>
          <w:rFonts w:ascii="Times New Roman" w:hAnsi="Times New Roman"/>
          <w:bCs/>
          <w:color w:val="auto"/>
          <w:sz w:val="24"/>
          <w:szCs w:val="24"/>
          <w:lang w:val="zh-CN"/>
        </w:rPr>
        <w:fldChar w:fldCharType="end"/>
      </w:r>
    </w:p>
    <w:p>
      <w:pPr>
        <w:pStyle w:val="17"/>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color w:val="auto"/>
          <w:sz w:val="24"/>
          <w:szCs w:val="24"/>
        </w:rPr>
      </w:pPr>
      <w:r>
        <w:rPr>
          <w:rFonts w:ascii="Times New Roman" w:hAnsi="Times New Roman"/>
          <w:bCs/>
          <w:color w:val="auto"/>
          <w:sz w:val="24"/>
          <w:szCs w:val="24"/>
          <w:lang w:val="zh-CN"/>
        </w:rPr>
        <w:fldChar w:fldCharType="begin"/>
      </w:r>
      <w:r>
        <w:rPr>
          <w:rFonts w:ascii="Times New Roman" w:hAnsi="Times New Roman"/>
          <w:bCs/>
          <w:color w:val="auto"/>
          <w:sz w:val="24"/>
          <w:szCs w:val="24"/>
          <w:lang w:val="zh-CN"/>
        </w:rPr>
        <w:instrText xml:space="preserve"> HYPERLINK \l _Toc29501 </w:instrText>
      </w:r>
      <w:r>
        <w:rPr>
          <w:rFonts w:ascii="Times New Roman" w:hAnsi="Times New Roman"/>
          <w:bCs/>
          <w:color w:val="auto"/>
          <w:sz w:val="24"/>
          <w:szCs w:val="24"/>
          <w:lang w:val="zh-CN"/>
        </w:rPr>
        <w:fldChar w:fldCharType="separate"/>
      </w:r>
      <w:r>
        <w:rPr>
          <w:rFonts w:hint="eastAsia"/>
          <w:color w:val="auto"/>
          <w:sz w:val="24"/>
          <w:szCs w:val="24"/>
        </w:rPr>
        <w:t>表13结论与建议</w:t>
      </w:r>
      <w:r>
        <w:rPr>
          <w:color w:val="auto"/>
          <w:sz w:val="24"/>
          <w:szCs w:val="24"/>
        </w:rPr>
        <w:tab/>
      </w:r>
      <w:r>
        <w:rPr>
          <w:color w:val="auto"/>
          <w:sz w:val="24"/>
          <w:szCs w:val="24"/>
        </w:rPr>
        <w:fldChar w:fldCharType="begin"/>
      </w:r>
      <w:r>
        <w:rPr>
          <w:color w:val="auto"/>
          <w:sz w:val="24"/>
          <w:szCs w:val="24"/>
        </w:rPr>
        <w:instrText xml:space="preserve"> PAGEREF _Toc29501 \h </w:instrText>
      </w:r>
      <w:r>
        <w:rPr>
          <w:color w:val="auto"/>
          <w:sz w:val="24"/>
          <w:szCs w:val="24"/>
        </w:rPr>
        <w:fldChar w:fldCharType="separate"/>
      </w:r>
      <w:r>
        <w:rPr>
          <w:color w:val="auto"/>
          <w:sz w:val="24"/>
          <w:szCs w:val="24"/>
        </w:rPr>
        <w:t>48</w:t>
      </w:r>
      <w:r>
        <w:rPr>
          <w:color w:val="auto"/>
          <w:sz w:val="24"/>
          <w:szCs w:val="24"/>
        </w:rPr>
        <w:fldChar w:fldCharType="end"/>
      </w:r>
      <w:r>
        <w:rPr>
          <w:rFonts w:ascii="Times New Roman" w:hAnsi="Times New Roman"/>
          <w:bCs/>
          <w:color w:val="auto"/>
          <w:sz w:val="24"/>
          <w:szCs w:val="24"/>
          <w:lang w:val="zh-CN"/>
        </w:rPr>
        <w:fldChar w:fldCharType="end"/>
      </w:r>
    </w:p>
    <w:p>
      <w:pPr>
        <w:pStyle w:val="17"/>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color w:val="auto"/>
          <w:sz w:val="24"/>
          <w:szCs w:val="24"/>
        </w:rPr>
      </w:pPr>
      <w:r>
        <w:rPr>
          <w:rFonts w:ascii="Times New Roman" w:hAnsi="Times New Roman"/>
          <w:bCs/>
          <w:color w:val="auto"/>
          <w:sz w:val="24"/>
          <w:szCs w:val="24"/>
          <w:lang w:val="zh-CN"/>
        </w:rPr>
        <w:fldChar w:fldCharType="begin"/>
      </w:r>
      <w:r>
        <w:rPr>
          <w:rFonts w:ascii="Times New Roman" w:hAnsi="Times New Roman"/>
          <w:bCs/>
          <w:color w:val="auto"/>
          <w:sz w:val="24"/>
          <w:szCs w:val="24"/>
          <w:lang w:val="zh-CN"/>
        </w:rPr>
        <w:instrText xml:space="preserve"> HYPERLINK \l _Toc10765 </w:instrText>
      </w:r>
      <w:r>
        <w:rPr>
          <w:rFonts w:ascii="Times New Roman" w:hAnsi="Times New Roman"/>
          <w:bCs/>
          <w:color w:val="auto"/>
          <w:sz w:val="24"/>
          <w:szCs w:val="24"/>
          <w:lang w:val="zh-CN"/>
        </w:rPr>
        <w:fldChar w:fldCharType="separate"/>
      </w:r>
      <w:r>
        <w:rPr>
          <w:color w:val="auto"/>
          <w:sz w:val="24"/>
          <w:szCs w:val="24"/>
        </w:rPr>
        <w:t>表</w:t>
      </w:r>
      <w:r>
        <w:rPr>
          <w:rFonts w:hint="eastAsia"/>
          <w:color w:val="auto"/>
          <w:sz w:val="24"/>
          <w:szCs w:val="24"/>
        </w:rPr>
        <w:t>14审批</w:t>
      </w:r>
      <w:r>
        <w:rPr>
          <w:color w:val="auto"/>
          <w:sz w:val="24"/>
          <w:szCs w:val="24"/>
        </w:rPr>
        <w:tab/>
      </w:r>
      <w:r>
        <w:rPr>
          <w:color w:val="auto"/>
          <w:sz w:val="24"/>
          <w:szCs w:val="24"/>
        </w:rPr>
        <w:fldChar w:fldCharType="begin"/>
      </w:r>
      <w:r>
        <w:rPr>
          <w:color w:val="auto"/>
          <w:sz w:val="24"/>
          <w:szCs w:val="24"/>
        </w:rPr>
        <w:instrText xml:space="preserve"> PAGEREF _Toc10765 \h </w:instrText>
      </w:r>
      <w:r>
        <w:rPr>
          <w:color w:val="auto"/>
          <w:sz w:val="24"/>
          <w:szCs w:val="24"/>
        </w:rPr>
        <w:fldChar w:fldCharType="separate"/>
      </w:r>
      <w:r>
        <w:rPr>
          <w:color w:val="auto"/>
          <w:sz w:val="24"/>
          <w:szCs w:val="24"/>
        </w:rPr>
        <w:t>51</w:t>
      </w:r>
      <w:r>
        <w:rPr>
          <w:color w:val="auto"/>
          <w:sz w:val="24"/>
          <w:szCs w:val="24"/>
        </w:rPr>
        <w:fldChar w:fldCharType="end"/>
      </w:r>
      <w:r>
        <w:rPr>
          <w:rFonts w:ascii="Times New Roman" w:hAnsi="Times New Roman"/>
          <w:bCs/>
          <w:color w:val="auto"/>
          <w:sz w:val="24"/>
          <w:szCs w:val="24"/>
          <w:lang w:val="zh-CN"/>
        </w:rPr>
        <w:fldChar w:fldCharType="end"/>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bCs/>
          <w:color w:val="auto"/>
          <w:sz w:val="24"/>
          <w:szCs w:val="24"/>
          <w:lang w:val="zh-CN"/>
        </w:rPr>
      </w:pPr>
      <w:r>
        <w:rPr>
          <w:rFonts w:ascii="Times New Roman" w:hAnsi="Times New Roman"/>
          <w:bCs/>
          <w:color w:val="auto"/>
          <w:sz w:val="24"/>
          <w:szCs w:val="24"/>
          <w:lang w:val="zh-CN"/>
        </w:rPr>
        <w:fldChar w:fldCharType="end"/>
      </w:r>
    </w:p>
    <w:p>
      <w:pPr>
        <w:keepNext w:val="0"/>
        <w:keepLines w:val="0"/>
        <w:pageBreakBefore w:val="0"/>
        <w:widowControl w:val="0"/>
        <w:kinsoku/>
        <w:wordWrap/>
        <w:overflowPunct/>
        <w:topLinePunct w:val="0"/>
        <w:autoSpaceDE/>
        <w:autoSpaceDN/>
        <w:bidi w:val="0"/>
        <w:adjustRightInd/>
        <w:snapToGrid/>
        <w:spacing w:line="240" w:lineRule="auto"/>
        <w:textAlignment w:val="auto"/>
        <w:rPr>
          <w:b w:val="0"/>
          <w:bCs/>
          <w:color w:val="auto"/>
          <w:sz w:val="21"/>
          <w:szCs w:val="21"/>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b w:val="0"/>
          <w:bCs/>
          <w:color w:val="auto"/>
          <w:sz w:val="21"/>
          <w:szCs w:val="21"/>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b w:val="0"/>
          <w:bCs/>
          <w:color w:val="auto"/>
          <w:sz w:val="21"/>
          <w:szCs w:val="21"/>
        </w:rPr>
      </w:pPr>
      <w:r>
        <w:rPr>
          <w:b w:val="0"/>
          <w:bCs/>
          <w:color w:val="auto"/>
          <w:sz w:val="21"/>
          <w:szCs w:val="21"/>
        </w:rPr>
        <w:t>附图</w:t>
      </w:r>
      <w:r>
        <w:rPr>
          <w:rFonts w:hint="eastAsia"/>
          <w:b w:val="0"/>
          <w:bCs/>
          <w:color w:val="auto"/>
          <w:sz w:val="21"/>
          <w:szCs w:val="21"/>
        </w:rPr>
        <w:t>1：项目地理位置图</w:t>
      </w:r>
    </w:p>
    <w:p>
      <w:pPr>
        <w:pStyle w:val="4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b w:val="0"/>
          <w:bCs/>
          <w:color w:val="auto"/>
          <w:sz w:val="21"/>
          <w:szCs w:val="21"/>
        </w:rPr>
      </w:pPr>
      <w:r>
        <w:rPr>
          <w:rFonts w:hint="eastAsia"/>
          <w:b w:val="0"/>
          <w:bCs/>
          <w:color w:val="auto"/>
          <w:sz w:val="21"/>
          <w:szCs w:val="21"/>
        </w:rPr>
        <w:t>附图2：厂区平面布置图</w:t>
      </w:r>
    </w:p>
    <w:p>
      <w:pPr>
        <w:pStyle w:val="4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b w:val="0"/>
          <w:bCs/>
          <w:color w:val="auto"/>
          <w:sz w:val="21"/>
          <w:szCs w:val="21"/>
          <w:lang w:val="en-US" w:eastAsia="zh-CN"/>
        </w:rPr>
      </w:pPr>
      <w:r>
        <w:rPr>
          <w:rFonts w:hint="eastAsia"/>
          <w:b w:val="0"/>
          <w:bCs/>
          <w:color w:val="auto"/>
          <w:sz w:val="21"/>
          <w:szCs w:val="21"/>
        </w:rPr>
        <w:t>附图3：探伤室</w:t>
      </w:r>
      <w:r>
        <w:rPr>
          <w:rFonts w:hint="eastAsia"/>
          <w:b w:val="0"/>
          <w:bCs/>
          <w:color w:val="auto"/>
          <w:sz w:val="21"/>
          <w:szCs w:val="21"/>
          <w:lang w:val="en-US" w:eastAsia="zh-CN"/>
        </w:rPr>
        <w:t>设计图</w:t>
      </w:r>
    </w:p>
    <w:p>
      <w:pPr>
        <w:pStyle w:val="4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b w:val="0"/>
          <w:bCs/>
          <w:color w:val="auto"/>
          <w:sz w:val="21"/>
          <w:szCs w:val="21"/>
          <w:lang w:val="en-US" w:eastAsia="zh-CN"/>
        </w:rPr>
      </w:pPr>
      <w:r>
        <w:rPr>
          <w:rFonts w:hint="eastAsia"/>
          <w:b w:val="0"/>
          <w:bCs/>
          <w:color w:val="auto"/>
          <w:sz w:val="21"/>
          <w:szCs w:val="21"/>
          <w:lang w:val="en-US" w:eastAsia="zh-CN"/>
        </w:rPr>
        <w:t>附图4：关注点位置距离示意图</w:t>
      </w:r>
    </w:p>
    <w:p>
      <w:pPr>
        <w:pStyle w:val="4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eastAsia="宋体"/>
          <w:b w:val="0"/>
          <w:bCs/>
          <w:color w:val="auto"/>
          <w:sz w:val="21"/>
          <w:szCs w:val="21"/>
          <w:lang w:val="en-US" w:eastAsia="zh-CN"/>
        </w:rPr>
      </w:pPr>
      <w:r>
        <w:rPr>
          <w:rFonts w:hint="eastAsia"/>
          <w:b w:val="0"/>
          <w:bCs/>
          <w:color w:val="auto"/>
          <w:sz w:val="21"/>
          <w:szCs w:val="21"/>
        </w:rPr>
        <w:t>附图</w:t>
      </w:r>
      <w:r>
        <w:rPr>
          <w:rFonts w:hint="eastAsia"/>
          <w:b w:val="0"/>
          <w:bCs/>
          <w:color w:val="auto"/>
          <w:sz w:val="21"/>
          <w:szCs w:val="21"/>
          <w:lang w:val="en-US" w:eastAsia="zh-CN"/>
        </w:rPr>
        <w:t>5</w:t>
      </w:r>
      <w:r>
        <w:rPr>
          <w:rFonts w:hint="eastAsia"/>
          <w:b w:val="0"/>
          <w:bCs/>
          <w:color w:val="auto"/>
          <w:sz w:val="21"/>
          <w:szCs w:val="21"/>
        </w:rPr>
        <w:t>：</w:t>
      </w:r>
      <w:r>
        <w:rPr>
          <w:rFonts w:hint="eastAsia"/>
          <w:b w:val="0"/>
          <w:bCs/>
          <w:color w:val="auto"/>
          <w:sz w:val="21"/>
          <w:szCs w:val="21"/>
          <w:lang w:val="en-US" w:eastAsia="zh-CN"/>
        </w:rPr>
        <w:t>分区示意图</w:t>
      </w:r>
    </w:p>
    <w:p>
      <w:pPr>
        <w:pStyle w:val="4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eastAsia="宋体"/>
          <w:b w:val="0"/>
          <w:bCs/>
          <w:color w:val="FF0000"/>
          <w:sz w:val="21"/>
          <w:szCs w:val="21"/>
          <w:lang w:eastAsia="zh-CN"/>
        </w:rPr>
      </w:pPr>
      <w:r>
        <w:rPr>
          <w:rFonts w:hint="eastAsia"/>
          <w:b w:val="0"/>
          <w:bCs/>
          <w:color w:val="FF0000"/>
          <w:sz w:val="21"/>
          <w:szCs w:val="21"/>
          <w:lang w:eastAsia="zh-CN"/>
        </w:rPr>
        <w:t>（</w:t>
      </w:r>
      <w:r>
        <w:rPr>
          <w:rFonts w:hint="eastAsia"/>
          <w:b w:val="0"/>
          <w:bCs/>
          <w:color w:val="FF0000"/>
          <w:sz w:val="21"/>
          <w:szCs w:val="21"/>
          <w:lang w:val="en-US" w:eastAsia="zh-CN"/>
        </w:rPr>
        <w:t>标红暂缺</w:t>
      </w:r>
      <w:r>
        <w:rPr>
          <w:rFonts w:hint="eastAsia"/>
          <w:b w:val="0"/>
          <w:bCs/>
          <w:color w:val="FF0000"/>
          <w:sz w:val="21"/>
          <w:szCs w:val="21"/>
          <w:lang w:eastAsia="zh-CN"/>
        </w:rPr>
        <w:t>）</w:t>
      </w:r>
    </w:p>
    <w:p>
      <w:pPr>
        <w:pStyle w:val="4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b w:val="0"/>
          <w:bCs/>
          <w:color w:val="FF0000"/>
          <w:sz w:val="21"/>
          <w:szCs w:val="21"/>
        </w:rPr>
      </w:pPr>
      <w:r>
        <w:rPr>
          <w:rFonts w:hint="eastAsia"/>
          <w:b w:val="0"/>
          <w:bCs/>
          <w:color w:val="FF0000"/>
          <w:sz w:val="21"/>
          <w:szCs w:val="21"/>
        </w:rPr>
        <w:t>附件1：委托书</w:t>
      </w:r>
    </w:p>
    <w:p>
      <w:pPr>
        <w:pStyle w:val="4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b w:val="0"/>
          <w:bCs/>
          <w:color w:val="FF0000"/>
          <w:sz w:val="21"/>
          <w:szCs w:val="21"/>
        </w:rPr>
      </w:pPr>
      <w:r>
        <w:rPr>
          <w:rFonts w:hint="eastAsia"/>
          <w:b w:val="0"/>
          <w:bCs/>
          <w:color w:val="FF0000"/>
          <w:sz w:val="21"/>
          <w:szCs w:val="21"/>
        </w:rPr>
        <w:t>附件2：监测报告</w:t>
      </w:r>
    </w:p>
    <w:p>
      <w:pPr>
        <w:pStyle w:val="4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b w:val="0"/>
          <w:bCs/>
          <w:color w:val="auto"/>
          <w:sz w:val="21"/>
          <w:szCs w:val="21"/>
        </w:rPr>
      </w:pPr>
      <w:r>
        <w:rPr>
          <w:rFonts w:hint="eastAsia"/>
          <w:b w:val="0"/>
          <w:bCs/>
          <w:color w:val="auto"/>
          <w:sz w:val="21"/>
          <w:szCs w:val="21"/>
        </w:rPr>
        <w:t>附件3：营业执照</w:t>
      </w:r>
    </w:p>
    <w:p>
      <w:pPr>
        <w:pStyle w:val="4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b w:val="0"/>
          <w:bCs/>
          <w:color w:val="FF0000"/>
          <w:sz w:val="21"/>
          <w:szCs w:val="21"/>
          <w:lang w:val="en-US" w:eastAsia="zh-CN"/>
        </w:rPr>
      </w:pPr>
      <w:r>
        <w:rPr>
          <w:rFonts w:hint="eastAsia"/>
          <w:b w:val="0"/>
          <w:bCs/>
          <w:color w:val="FF0000"/>
          <w:sz w:val="21"/>
          <w:szCs w:val="21"/>
        </w:rPr>
        <w:t>附件</w:t>
      </w:r>
      <w:r>
        <w:rPr>
          <w:rFonts w:hint="eastAsia"/>
          <w:b w:val="0"/>
          <w:bCs/>
          <w:color w:val="FF0000"/>
          <w:sz w:val="21"/>
          <w:szCs w:val="21"/>
          <w:lang w:val="en-US" w:eastAsia="zh-CN"/>
        </w:rPr>
        <w:t>4</w:t>
      </w:r>
      <w:r>
        <w:rPr>
          <w:rFonts w:hint="eastAsia"/>
          <w:b w:val="0"/>
          <w:bCs/>
          <w:color w:val="FF0000"/>
          <w:sz w:val="21"/>
          <w:szCs w:val="21"/>
        </w:rPr>
        <w:t>：关于长沙赛恩斯环保科技有限公司10万吨/年重金属废水处理药剂（生物制剂）建设项目环境影响报告书的批复</w:t>
      </w:r>
    </w:p>
    <w:p>
      <w:pPr>
        <w:pStyle w:val="4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eastAsia="宋体"/>
          <w:b w:val="0"/>
          <w:bCs/>
          <w:color w:val="FF0000"/>
          <w:sz w:val="21"/>
          <w:szCs w:val="21"/>
          <w:lang w:val="en-US" w:eastAsia="zh-CN"/>
        </w:rPr>
      </w:pPr>
      <w:r>
        <w:rPr>
          <w:rFonts w:hint="eastAsia"/>
          <w:b w:val="0"/>
          <w:bCs/>
          <w:color w:val="FF0000"/>
          <w:sz w:val="21"/>
          <w:szCs w:val="21"/>
          <w:lang w:val="en-US" w:eastAsia="zh-CN"/>
        </w:rPr>
        <w:t>附件5：关于长沙赛恩斯环保科技有限公司10万吨/年重金属废水处理药剂（生物制剂）建设项目竣工环保验收意见的函</w:t>
      </w:r>
    </w:p>
    <w:p>
      <w:pPr>
        <w:pStyle w:val="4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eastAsia="宋体"/>
          <w:b w:val="0"/>
          <w:bCs/>
          <w:color w:val="auto"/>
          <w:sz w:val="21"/>
          <w:szCs w:val="21"/>
          <w:lang w:val="en-US" w:eastAsia="zh-CN"/>
        </w:rPr>
      </w:pPr>
      <w:r>
        <w:rPr>
          <w:rFonts w:hint="eastAsia"/>
          <w:b w:val="0"/>
          <w:bCs/>
          <w:color w:val="auto"/>
          <w:sz w:val="21"/>
          <w:szCs w:val="21"/>
          <w:lang w:val="en-US" w:eastAsia="zh-CN"/>
        </w:rPr>
        <w:t>附件6：关于长沙赛恩斯环保科技有限公司金属脱除用高分子复合凝胶吸附剂建设项目环境影响报告书的批复</w:t>
      </w:r>
    </w:p>
    <w:p>
      <w:pPr>
        <w:pStyle w:val="4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b w:val="0"/>
          <w:bCs/>
          <w:color w:val="FF0000"/>
          <w:sz w:val="21"/>
          <w:szCs w:val="21"/>
        </w:rPr>
      </w:pPr>
      <w:r>
        <w:rPr>
          <w:rFonts w:hint="eastAsia"/>
          <w:b w:val="0"/>
          <w:bCs/>
          <w:color w:val="FF0000"/>
          <w:sz w:val="21"/>
          <w:szCs w:val="21"/>
        </w:rPr>
        <w:t>附件</w:t>
      </w:r>
      <w:r>
        <w:rPr>
          <w:rFonts w:hint="eastAsia"/>
          <w:b w:val="0"/>
          <w:bCs/>
          <w:color w:val="FF0000"/>
          <w:sz w:val="21"/>
          <w:szCs w:val="21"/>
          <w:lang w:val="en-US" w:eastAsia="zh-CN"/>
        </w:rPr>
        <w:t>7</w:t>
      </w:r>
      <w:r>
        <w:rPr>
          <w:rFonts w:hint="eastAsia"/>
          <w:b w:val="0"/>
          <w:bCs/>
          <w:color w:val="FF0000"/>
          <w:sz w:val="21"/>
          <w:szCs w:val="21"/>
        </w:rPr>
        <w:t>：辐射安全与防护培训承诺函</w:t>
      </w:r>
    </w:p>
    <w:p>
      <w:pPr>
        <w:pStyle w:val="4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b w:val="0"/>
          <w:bCs/>
          <w:color w:val="FF0000"/>
          <w:sz w:val="21"/>
          <w:szCs w:val="21"/>
          <w:lang w:val="en-US" w:eastAsia="zh-CN"/>
        </w:rPr>
        <w:sectPr>
          <w:headerReference r:id="rId3" w:type="default"/>
          <w:footerReference r:id="rId4" w:type="default"/>
          <w:pgSz w:w="11906" w:h="16838"/>
          <w:pgMar w:top="1440" w:right="1800" w:bottom="1440" w:left="1800" w:header="851" w:footer="992" w:gutter="0"/>
          <w:pgNumType w:start="1"/>
          <w:cols w:space="720" w:num="1"/>
          <w:docGrid w:type="lines" w:linePitch="312" w:charSpace="0"/>
        </w:sectPr>
      </w:pPr>
      <w:r>
        <w:rPr>
          <w:rFonts w:hint="eastAsia"/>
          <w:b w:val="0"/>
          <w:bCs/>
          <w:color w:val="FF0000"/>
          <w:sz w:val="21"/>
          <w:szCs w:val="21"/>
          <w:lang w:val="en-US" w:eastAsia="zh-CN"/>
        </w:rPr>
        <w:t>附件8：危废处置承诺函</w:t>
      </w:r>
    </w:p>
    <w:p>
      <w:pPr>
        <w:pStyle w:val="51"/>
        <w:rPr>
          <w:color w:val="auto"/>
        </w:rPr>
      </w:pPr>
      <w:bookmarkStart w:id="0" w:name="_Toc4928"/>
      <w:r>
        <w:rPr>
          <w:color w:val="auto"/>
        </w:rPr>
        <w:t>表1项目基本情况</w:t>
      </w:r>
      <w:bookmarkEnd w:id="0"/>
    </w:p>
    <w:tbl>
      <w:tblPr>
        <w:tblStyle w:val="23"/>
        <w:tblW w:w="93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2"/>
        <w:gridCol w:w="1418"/>
        <w:gridCol w:w="1095"/>
        <w:gridCol w:w="322"/>
        <w:gridCol w:w="1744"/>
        <w:gridCol w:w="1403"/>
        <w:gridCol w:w="1248"/>
        <w:gridCol w:w="702"/>
        <w:gridCol w:w="6"/>
        <w:gridCol w:w="8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0" w:type="dxa"/>
            <w:gridSpan w:val="2"/>
            <w:noWrap w:val="0"/>
            <w:vAlign w:val="center"/>
          </w:tcPr>
          <w:p>
            <w:pPr>
              <w:spacing w:line="360" w:lineRule="auto"/>
              <w:jc w:val="center"/>
              <w:rPr>
                <w:rFonts w:ascii="宋体" w:hAnsi="宋体"/>
                <w:color w:val="auto"/>
                <w:sz w:val="24"/>
                <w:szCs w:val="24"/>
              </w:rPr>
            </w:pPr>
            <w:r>
              <w:rPr>
                <w:rFonts w:ascii="宋体" w:hAnsi="宋体"/>
                <w:color w:val="auto"/>
                <w:sz w:val="24"/>
                <w:szCs w:val="24"/>
              </w:rPr>
              <w:t>建设项目名称</w:t>
            </w:r>
          </w:p>
        </w:tc>
        <w:tc>
          <w:tcPr>
            <w:tcW w:w="7376" w:type="dxa"/>
            <w:gridSpan w:val="8"/>
            <w:noWrap w:val="0"/>
            <w:vAlign w:val="center"/>
          </w:tcPr>
          <w:p>
            <w:pPr>
              <w:spacing w:line="360" w:lineRule="auto"/>
              <w:jc w:val="center"/>
              <w:rPr>
                <w:rFonts w:hint="eastAsia" w:ascii="宋体" w:hAnsi="宋体" w:eastAsia="宋体"/>
                <w:color w:val="auto"/>
                <w:sz w:val="24"/>
                <w:szCs w:val="24"/>
                <w:lang w:eastAsia="zh-CN"/>
              </w:rPr>
            </w:pPr>
            <w:r>
              <w:rPr>
                <w:rFonts w:hint="eastAsia" w:ascii="宋体" w:hAnsi="宋体"/>
                <w:color w:val="auto"/>
                <w:sz w:val="24"/>
                <w:szCs w:val="24"/>
                <w:lang w:eastAsia="zh-CN"/>
              </w:rPr>
              <w:t>长沙赛恩斯环保工程技术有限公司压力容器制造无损检测探伤房建设项目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0" w:type="dxa"/>
            <w:gridSpan w:val="2"/>
            <w:noWrap w:val="0"/>
            <w:vAlign w:val="center"/>
          </w:tcPr>
          <w:p>
            <w:pPr>
              <w:spacing w:line="360" w:lineRule="auto"/>
              <w:jc w:val="center"/>
              <w:rPr>
                <w:rFonts w:ascii="宋体" w:hAnsi="宋体"/>
                <w:color w:val="auto"/>
                <w:sz w:val="24"/>
                <w:szCs w:val="24"/>
              </w:rPr>
            </w:pPr>
            <w:r>
              <w:rPr>
                <w:rFonts w:ascii="宋体" w:hAnsi="宋体"/>
                <w:color w:val="auto"/>
                <w:sz w:val="24"/>
                <w:szCs w:val="24"/>
              </w:rPr>
              <w:t>建设单位</w:t>
            </w:r>
          </w:p>
        </w:tc>
        <w:tc>
          <w:tcPr>
            <w:tcW w:w="7376" w:type="dxa"/>
            <w:gridSpan w:val="8"/>
            <w:noWrap w:val="0"/>
            <w:vAlign w:val="center"/>
          </w:tcPr>
          <w:p>
            <w:pPr>
              <w:spacing w:line="360" w:lineRule="auto"/>
              <w:jc w:val="center"/>
              <w:rPr>
                <w:rFonts w:hint="eastAsia" w:ascii="宋体" w:hAnsi="宋体" w:eastAsia="宋体"/>
                <w:color w:val="auto"/>
                <w:sz w:val="24"/>
                <w:szCs w:val="24"/>
                <w:lang w:eastAsia="zh-CN"/>
              </w:rPr>
            </w:pPr>
            <w:r>
              <w:rPr>
                <w:rFonts w:hint="eastAsia" w:ascii="宋体" w:hAnsi="宋体"/>
                <w:color w:val="auto"/>
                <w:sz w:val="24"/>
                <w:szCs w:val="24"/>
                <w:lang w:eastAsia="zh-CN"/>
              </w:rPr>
              <w:t>长沙赛恩斯环保工程技术有限公司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0" w:type="dxa"/>
            <w:gridSpan w:val="2"/>
            <w:noWrap w:val="0"/>
            <w:vAlign w:val="center"/>
          </w:tcPr>
          <w:p>
            <w:pPr>
              <w:spacing w:line="360" w:lineRule="auto"/>
              <w:jc w:val="center"/>
              <w:rPr>
                <w:rFonts w:ascii="宋体" w:hAnsi="宋体"/>
                <w:color w:val="auto"/>
                <w:sz w:val="24"/>
                <w:szCs w:val="24"/>
              </w:rPr>
            </w:pPr>
            <w:r>
              <w:rPr>
                <w:rFonts w:ascii="宋体" w:hAnsi="宋体"/>
                <w:color w:val="auto"/>
                <w:sz w:val="24"/>
                <w:szCs w:val="24"/>
              </w:rPr>
              <w:t>法人代表</w:t>
            </w:r>
          </w:p>
        </w:tc>
        <w:tc>
          <w:tcPr>
            <w:tcW w:w="1417" w:type="dxa"/>
            <w:gridSpan w:val="2"/>
            <w:noWrap w:val="0"/>
            <w:vAlign w:val="center"/>
          </w:tcPr>
          <w:p>
            <w:pPr>
              <w:spacing w:line="360" w:lineRule="auto"/>
              <w:jc w:val="center"/>
              <w:rPr>
                <w:rFonts w:ascii="宋体" w:hAnsi="宋体"/>
                <w:color w:val="auto"/>
                <w:sz w:val="24"/>
                <w:szCs w:val="24"/>
              </w:rPr>
            </w:pPr>
            <w:r>
              <w:rPr>
                <w:rFonts w:ascii="宋体" w:hAnsi="宋体"/>
                <w:color w:val="auto"/>
                <w:sz w:val="24"/>
                <w:szCs w:val="24"/>
              </w:rPr>
              <w:fldChar w:fldCharType="begin"/>
            </w:r>
            <w:r>
              <w:rPr>
                <w:rFonts w:ascii="宋体" w:hAnsi="宋体"/>
                <w:color w:val="auto"/>
                <w:sz w:val="24"/>
                <w:szCs w:val="24"/>
              </w:rPr>
              <w:instrText xml:space="preserve"> HYPERLINK "https://www.tianyancha.com/human/2283509697-c395415922" \o "高伟荣" \t "https://www.tianyancha.com/company/_blank" </w:instrText>
            </w:r>
            <w:r>
              <w:rPr>
                <w:rFonts w:ascii="宋体" w:hAnsi="宋体"/>
                <w:color w:val="auto"/>
                <w:sz w:val="24"/>
                <w:szCs w:val="24"/>
              </w:rPr>
              <w:fldChar w:fldCharType="separate"/>
            </w:r>
            <w:r>
              <w:rPr>
                <w:rFonts w:hint="default" w:ascii="宋体" w:hAnsi="宋体"/>
                <w:color w:val="auto"/>
                <w:sz w:val="24"/>
                <w:szCs w:val="24"/>
              </w:rPr>
              <w:t>高伟荣</w:t>
            </w:r>
            <w:r>
              <w:rPr>
                <w:rFonts w:hint="default" w:ascii="宋体" w:hAnsi="宋体"/>
                <w:color w:val="auto"/>
                <w:sz w:val="24"/>
                <w:szCs w:val="24"/>
              </w:rPr>
              <w:fldChar w:fldCharType="end"/>
            </w:r>
          </w:p>
        </w:tc>
        <w:tc>
          <w:tcPr>
            <w:tcW w:w="1744" w:type="dxa"/>
            <w:noWrap w:val="0"/>
            <w:vAlign w:val="center"/>
          </w:tcPr>
          <w:p>
            <w:pPr>
              <w:spacing w:line="360" w:lineRule="auto"/>
              <w:jc w:val="center"/>
              <w:rPr>
                <w:rFonts w:ascii="宋体" w:hAnsi="宋体"/>
                <w:color w:val="auto"/>
                <w:sz w:val="24"/>
                <w:szCs w:val="24"/>
              </w:rPr>
            </w:pPr>
            <w:r>
              <w:rPr>
                <w:rFonts w:ascii="宋体" w:hAnsi="宋体"/>
                <w:color w:val="auto"/>
                <w:sz w:val="24"/>
                <w:szCs w:val="24"/>
              </w:rPr>
              <w:t>联系人</w:t>
            </w:r>
          </w:p>
        </w:tc>
        <w:tc>
          <w:tcPr>
            <w:tcW w:w="1403" w:type="dxa"/>
            <w:noWrap w:val="0"/>
            <w:vAlign w:val="center"/>
          </w:tcPr>
          <w:p>
            <w:pPr>
              <w:spacing w:line="360" w:lineRule="auto"/>
              <w:jc w:val="center"/>
              <w:rPr>
                <w:rFonts w:hint="eastAsia" w:ascii="宋体" w:hAnsi="宋体" w:eastAsia="宋体"/>
                <w:color w:val="auto"/>
                <w:sz w:val="24"/>
                <w:szCs w:val="24"/>
                <w:lang w:val="en-US" w:eastAsia="zh-CN"/>
              </w:rPr>
            </w:pPr>
            <w:r>
              <w:rPr>
                <w:rFonts w:hint="eastAsia" w:ascii="宋体" w:hAnsi="宋体"/>
                <w:color w:val="auto"/>
                <w:sz w:val="24"/>
                <w:szCs w:val="24"/>
                <w:lang w:val="en-US" w:eastAsia="zh-CN"/>
              </w:rPr>
              <w:t>刘娜</w:t>
            </w:r>
          </w:p>
        </w:tc>
        <w:tc>
          <w:tcPr>
            <w:tcW w:w="1248" w:type="dxa"/>
            <w:noWrap w:val="0"/>
            <w:vAlign w:val="center"/>
          </w:tcPr>
          <w:p>
            <w:pPr>
              <w:spacing w:line="360" w:lineRule="auto"/>
              <w:jc w:val="center"/>
              <w:rPr>
                <w:rFonts w:ascii="宋体" w:hAnsi="宋体"/>
                <w:color w:val="auto"/>
                <w:sz w:val="24"/>
                <w:szCs w:val="24"/>
              </w:rPr>
            </w:pPr>
            <w:r>
              <w:rPr>
                <w:rFonts w:ascii="宋体" w:hAnsi="宋体"/>
                <w:color w:val="auto"/>
                <w:sz w:val="24"/>
                <w:szCs w:val="24"/>
              </w:rPr>
              <w:t>联系电话</w:t>
            </w:r>
          </w:p>
        </w:tc>
        <w:tc>
          <w:tcPr>
            <w:tcW w:w="1564" w:type="dxa"/>
            <w:gridSpan w:val="3"/>
            <w:noWrap w:val="0"/>
            <w:vAlign w:val="center"/>
          </w:tcPr>
          <w:p>
            <w:pPr>
              <w:spacing w:line="360" w:lineRule="auto"/>
              <w:jc w:val="center"/>
              <w:rPr>
                <w:rFonts w:ascii="宋体" w:hAnsi="宋体"/>
                <w:color w:val="auto"/>
                <w:sz w:val="24"/>
                <w:szCs w:val="24"/>
              </w:rPr>
            </w:pPr>
            <w:r>
              <w:rPr>
                <w:rFonts w:hint="eastAsia" w:ascii="Times New Roman" w:hAnsi="Times New Roman" w:cs="Times New Roman"/>
                <w:sz w:val="24"/>
                <w:lang w:val="en-US" w:eastAsia="zh-CN"/>
              </w:rPr>
              <w:t>13548764771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0" w:type="dxa"/>
            <w:gridSpan w:val="2"/>
            <w:noWrap w:val="0"/>
            <w:vAlign w:val="center"/>
          </w:tcPr>
          <w:p>
            <w:pPr>
              <w:spacing w:line="360" w:lineRule="auto"/>
              <w:jc w:val="center"/>
              <w:rPr>
                <w:rFonts w:ascii="宋体" w:hAnsi="宋体"/>
                <w:color w:val="auto"/>
                <w:sz w:val="24"/>
                <w:szCs w:val="24"/>
              </w:rPr>
            </w:pPr>
            <w:r>
              <w:rPr>
                <w:rFonts w:ascii="宋体" w:hAnsi="宋体"/>
                <w:color w:val="auto"/>
                <w:sz w:val="24"/>
                <w:szCs w:val="24"/>
              </w:rPr>
              <w:t>注册地址</w:t>
            </w:r>
          </w:p>
        </w:tc>
        <w:tc>
          <w:tcPr>
            <w:tcW w:w="7376" w:type="dxa"/>
            <w:gridSpan w:val="8"/>
            <w:noWrap w:val="0"/>
            <w:vAlign w:val="center"/>
          </w:tcPr>
          <w:p>
            <w:pPr>
              <w:spacing w:line="360" w:lineRule="auto"/>
              <w:jc w:val="center"/>
              <w:rPr>
                <w:rFonts w:ascii="宋体" w:hAnsi="宋体"/>
                <w:color w:val="auto"/>
                <w:sz w:val="24"/>
                <w:szCs w:val="24"/>
              </w:rPr>
            </w:pPr>
            <w:r>
              <w:rPr>
                <w:rFonts w:hint="eastAsia" w:ascii="宋体" w:hAnsi="宋体"/>
                <w:color w:val="auto"/>
                <w:sz w:val="24"/>
                <w:szCs w:val="24"/>
                <w:lang w:val="en-US" w:eastAsia="zh-CN"/>
              </w:rPr>
              <w:t>宁乡县金洲新区金沙西路048号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0" w:type="dxa"/>
            <w:gridSpan w:val="2"/>
            <w:noWrap w:val="0"/>
            <w:vAlign w:val="center"/>
          </w:tcPr>
          <w:p>
            <w:pPr>
              <w:spacing w:line="360" w:lineRule="auto"/>
              <w:jc w:val="center"/>
              <w:rPr>
                <w:rFonts w:ascii="宋体" w:hAnsi="宋体"/>
                <w:color w:val="auto"/>
                <w:sz w:val="24"/>
                <w:szCs w:val="24"/>
              </w:rPr>
            </w:pPr>
            <w:r>
              <w:rPr>
                <w:rFonts w:ascii="宋体" w:hAnsi="宋体"/>
                <w:color w:val="auto"/>
                <w:sz w:val="24"/>
                <w:szCs w:val="24"/>
              </w:rPr>
              <w:t>项目地点</w:t>
            </w:r>
          </w:p>
        </w:tc>
        <w:tc>
          <w:tcPr>
            <w:tcW w:w="7376" w:type="dxa"/>
            <w:gridSpan w:val="8"/>
            <w:noWrap w:val="0"/>
            <w:vAlign w:val="center"/>
          </w:tcPr>
          <w:p>
            <w:pPr>
              <w:spacing w:line="360" w:lineRule="auto"/>
              <w:jc w:val="center"/>
              <w:rPr>
                <w:rFonts w:ascii="宋体" w:hAnsi="宋体"/>
                <w:color w:val="auto"/>
                <w:sz w:val="24"/>
                <w:szCs w:val="24"/>
              </w:rPr>
            </w:pPr>
            <w:r>
              <w:rPr>
                <w:rFonts w:hint="eastAsia" w:ascii="宋体" w:hAnsi="宋体"/>
                <w:color w:val="auto"/>
                <w:sz w:val="24"/>
                <w:szCs w:val="24"/>
                <w:lang w:val="en-US" w:eastAsia="zh-CN"/>
              </w:rPr>
              <w:t>宁乡县金洲新区金沙西路048号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0" w:type="dxa"/>
            <w:gridSpan w:val="2"/>
            <w:noWrap w:val="0"/>
            <w:vAlign w:val="center"/>
          </w:tcPr>
          <w:p>
            <w:pPr>
              <w:spacing w:line="360" w:lineRule="auto"/>
              <w:jc w:val="center"/>
              <w:rPr>
                <w:rFonts w:ascii="宋体" w:hAnsi="宋体"/>
                <w:color w:val="auto"/>
                <w:sz w:val="24"/>
                <w:szCs w:val="24"/>
              </w:rPr>
            </w:pPr>
            <w:r>
              <w:rPr>
                <w:rFonts w:ascii="宋体" w:hAnsi="宋体"/>
                <w:color w:val="auto"/>
                <w:sz w:val="24"/>
                <w:szCs w:val="24"/>
              </w:rPr>
              <w:t>立项审批部门</w:t>
            </w:r>
          </w:p>
        </w:tc>
        <w:tc>
          <w:tcPr>
            <w:tcW w:w="3161" w:type="dxa"/>
            <w:gridSpan w:val="3"/>
            <w:noWrap w:val="0"/>
            <w:vAlign w:val="center"/>
          </w:tcPr>
          <w:p>
            <w:pPr>
              <w:spacing w:line="360" w:lineRule="auto"/>
              <w:jc w:val="center"/>
              <w:rPr>
                <w:rFonts w:ascii="宋体" w:hAnsi="宋体"/>
                <w:color w:val="auto"/>
                <w:sz w:val="24"/>
                <w:szCs w:val="24"/>
              </w:rPr>
            </w:pPr>
            <w:r>
              <w:rPr>
                <w:rFonts w:hint="eastAsia" w:ascii="宋体" w:hAnsi="宋体"/>
                <w:color w:val="auto"/>
                <w:sz w:val="24"/>
                <w:szCs w:val="24"/>
              </w:rPr>
              <w:t>-</w:t>
            </w:r>
          </w:p>
        </w:tc>
        <w:tc>
          <w:tcPr>
            <w:tcW w:w="1403" w:type="dxa"/>
            <w:noWrap w:val="0"/>
            <w:vAlign w:val="center"/>
          </w:tcPr>
          <w:p>
            <w:pPr>
              <w:spacing w:line="360" w:lineRule="auto"/>
              <w:jc w:val="center"/>
              <w:rPr>
                <w:rFonts w:ascii="宋体" w:hAnsi="宋体"/>
                <w:color w:val="auto"/>
                <w:sz w:val="24"/>
                <w:szCs w:val="24"/>
              </w:rPr>
            </w:pPr>
            <w:r>
              <w:rPr>
                <w:rFonts w:ascii="宋体" w:hAnsi="宋体"/>
                <w:color w:val="auto"/>
                <w:sz w:val="24"/>
                <w:szCs w:val="24"/>
              </w:rPr>
              <w:t>批准文号</w:t>
            </w:r>
          </w:p>
        </w:tc>
        <w:tc>
          <w:tcPr>
            <w:tcW w:w="2812" w:type="dxa"/>
            <w:gridSpan w:val="4"/>
            <w:noWrap w:val="0"/>
            <w:vAlign w:val="center"/>
          </w:tcPr>
          <w:p>
            <w:pPr>
              <w:spacing w:line="360" w:lineRule="auto"/>
              <w:jc w:val="center"/>
              <w:rPr>
                <w:rFonts w:ascii="宋体" w:hAnsi="宋体"/>
                <w:color w:val="auto"/>
                <w:sz w:val="24"/>
                <w:szCs w:val="24"/>
              </w:rPr>
            </w:pPr>
            <w:r>
              <w:rPr>
                <w:rFonts w:hint="eastAsia" w:ascii="宋体" w:hAnsi="宋体"/>
                <w:color w:val="auto"/>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1980" w:type="dxa"/>
            <w:gridSpan w:val="2"/>
            <w:noWrap w:val="0"/>
            <w:vAlign w:val="center"/>
          </w:tcPr>
          <w:p>
            <w:pPr>
              <w:spacing w:line="360" w:lineRule="auto"/>
              <w:jc w:val="center"/>
              <w:rPr>
                <w:rFonts w:ascii="Times New Roman" w:hAnsi="Times New Roman"/>
                <w:color w:val="auto"/>
                <w:sz w:val="24"/>
                <w:szCs w:val="24"/>
              </w:rPr>
            </w:pPr>
            <w:r>
              <w:rPr>
                <w:rFonts w:ascii="Times New Roman" w:hAnsi="Times New Roman"/>
                <w:color w:val="auto"/>
                <w:sz w:val="24"/>
                <w:szCs w:val="24"/>
              </w:rPr>
              <w:t>建设项目总投资（万元）</w:t>
            </w:r>
          </w:p>
        </w:tc>
        <w:tc>
          <w:tcPr>
            <w:tcW w:w="1417" w:type="dxa"/>
            <w:gridSpan w:val="2"/>
            <w:noWrap w:val="0"/>
            <w:vAlign w:val="center"/>
          </w:tcPr>
          <w:p>
            <w:pPr>
              <w:spacing w:line="360" w:lineRule="auto"/>
              <w:jc w:val="center"/>
              <w:rPr>
                <w:rFonts w:hint="default" w:ascii="Times New Roman" w:hAnsi="Times New Roman" w:eastAsia="宋体"/>
                <w:color w:val="auto"/>
                <w:sz w:val="24"/>
                <w:szCs w:val="24"/>
                <w:lang w:val="en-US" w:eastAsia="zh-CN"/>
              </w:rPr>
            </w:pPr>
            <w:r>
              <w:rPr>
                <w:rFonts w:hint="eastAsia" w:ascii="Times New Roman" w:hAnsi="Times New Roman"/>
                <w:color w:val="auto"/>
                <w:sz w:val="24"/>
                <w:szCs w:val="24"/>
                <w:lang w:val="en-US" w:eastAsia="zh-CN"/>
              </w:rPr>
              <w:t>500</w:t>
            </w:r>
          </w:p>
        </w:tc>
        <w:tc>
          <w:tcPr>
            <w:tcW w:w="1744" w:type="dxa"/>
            <w:noWrap w:val="0"/>
            <w:vAlign w:val="center"/>
          </w:tcPr>
          <w:p>
            <w:pPr>
              <w:spacing w:line="360" w:lineRule="auto"/>
              <w:jc w:val="center"/>
              <w:rPr>
                <w:rFonts w:ascii="Times New Roman" w:hAnsi="Times New Roman"/>
                <w:color w:val="auto"/>
                <w:sz w:val="24"/>
                <w:szCs w:val="24"/>
              </w:rPr>
            </w:pPr>
            <w:r>
              <w:rPr>
                <w:rFonts w:ascii="Times New Roman" w:hAnsi="Times New Roman"/>
                <w:color w:val="auto"/>
                <w:sz w:val="24"/>
                <w:szCs w:val="24"/>
              </w:rPr>
              <w:t>项目环保投资（万元）</w:t>
            </w:r>
          </w:p>
        </w:tc>
        <w:tc>
          <w:tcPr>
            <w:tcW w:w="1403" w:type="dxa"/>
            <w:noWrap w:val="0"/>
            <w:vAlign w:val="center"/>
          </w:tcPr>
          <w:p>
            <w:pPr>
              <w:spacing w:line="360" w:lineRule="auto"/>
              <w:jc w:val="center"/>
              <w:rPr>
                <w:rFonts w:hint="default" w:ascii="Times New Roman" w:hAnsi="Times New Roman" w:eastAsia="宋体"/>
                <w:color w:val="auto"/>
                <w:sz w:val="24"/>
                <w:szCs w:val="24"/>
                <w:lang w:val="en-US" w:eastAsia="zh-CN"/>
              </w:rPr>
            </w:pPr>
            <w:r>
              <w:rPr>
                <w:rFonts w:hint="eastAsia" w:ascii="Times New Roman" w:hAnsi="Times New Roman"/>
                <w:color w:val="auto"/>
                <w:sz w:val="24"/>
                <w:szCs w:val="24"/>
                <w:lang w:val="en-US" w:eastAsia="zh-CN"/>
              </w:rPr>
              <w:t>45.2</w:t>
            </w:r>
          </w:p>
        </w:tc>
        <w:tc>
          <w:tcPr>
            <w:tcW w:w="1956" w:type="dxa"/>
            <w:gridSpan w:val="3"/>
            <w:noWrap w:val="0"/>
            <w:vAlign w:val="center"/>
          </w:tcPr>
          <w:p>
            <w:pPr>
              <w:spacing w:line="360" w:lineRule="auto"/>
              <w:jc w:val="center"/>
              <w:rPr>
                <w:rFonts w:ascii="Times New Roman" w:hAnsi="Times New Roman"/>
                <w:color w:val="auto"/>
                <w:sz w:val="24"/>
                <w:szCs w:val="24"/>
              </w:rPr>
            </w:pPr>
            <w:r>
              <w:rPr>
                <w:rFonts w:ascii="Times New Roman" w:hAnsi="Times New Roman"/>
                <w:color w:val="auto"/>
                <w:sz w:val="24"/>
                <w:szCs w:val="24"/>
              </w:rPr>
              <w:t>投资比例（环保投资/总投资）</w:t>
            </w:r>
          </w:p>
        </w:tc>
        <w:tc>
          <w:tcPr>
            <w:tcW w:w="856" w:type="dxa"/>
            <w:noWrap w:val="0"/>
            <w:vAlign w:val="center"/>
          </w:tcPr>
          <w:p>
            <w:pPr>
              <w:spacing w:line="360" w:lineRule="auto"/>
              <w:jc w:val="center"/>
              <w:rPr>
                <w:rFonts w:ascii="Times New Roman" w:hAnsi="Times New Roman"/>
                <w:color w:val="auto"/>
                <w:sz w:val="24"/>
                <w:szCs w:val="24"/>
              </w:rPr>
            </w:pPr>
            <w:r>
              <w:rPr>
                <w:rFonts w:hint="eastAsia" w:ascii="Times New Roman" w:hAnsi="Times New Roman"/>
                <w:color w:val="auto"/>
                <w:sz w:val="24"/>
                <w:szCs w:val="24"/>
                <w:lang w:val="en-US" w:eastAsia="zh-CN"/>
              </w:rPr>
              <w:t>9.04</w:t>
            </w:r>
            <w:r>
              <w:rPr>
                <w:rFonts w:ascii="Times New Roman" w:hAnsi="Times New Roman"/>
                <w:color w:val="auto"/>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0" w:type="dxa"/>
            <w:gridSpan w:val="2"/>
            <w:noWrap w:val="0"/>
            <w:vAlign w:val="center"/>
          </w:tcPr>
          <w:p>
            <w:pPr>
              <w:spacing w:line="360" w:lineRule="auto"/>
              <w:jc w:val="center"/>
              <w:rPr>
                <w:rFonts w:ascii="宋体" w:hAnsi="宋体"/>
                <w:color w:val="auto"/>
                <w:sz w:val="24"/>
                <w:szCs w:val="24"/>
              </w:rPr>
            </w:pPr>
            <w:r>
              <w:rPr>
                <w:rFonts w:ascii="宋体" w:hAnsi="宋体"/>
                <w:color w:val="auto"/>
                <w:sz w:val="24"/>
                <w:szCs w:val="24"/>
              </w:rPr>
              <w:t>项目性质</w:t>
            </w:r>
          </w:p>
        </w:tc>
        <w:tc>
          <w:tcPr>
            <w:tcW w:w="4564" w:type="dxa"/>
            <w:gridSpan w:val="4"/>
            <w:noWrap w:val="0"/>
            <w:vAlign w:val="center"/>
          </w:tcPr>
          <w:p>
            <w:pPr>
              <w:spacing w:line="360" w:lineRule="auto"/>
              <w:jc w:val="center"/>
              <w:rPr>
                <w:rFonts w:ascii="宋体" w:hAnsi="宋体"/>
                <w:color w:val="auto"/>
                <w:sz w:val="24"/>
                <w:szCs w:val="24"/>
              </w:rPr>
            </w:pPr>
            <w:r>
              <w:rPr>
                <w:rFonts w:ascii="宋体" w:hAnsi="宋体"/>
                <w:color w:val="auto"/>
                <w:sz w:val="24"/>
                <w:szCs w:val="24"/>
              </w:rPr>
              <w:fldChar w:fldCharType="begin"/>
            </w:r>
            <w:r>
              <w:rPr>
                <w:rFonts w:hint="eastAsia" w:ascii="宋体" w:hAnsi="宋体"/>
                <w:color w:val="auto"/>
                <w:sz w:val="24"/>
                <w:szCs w:val="24"/>
              </w:rPr>
              <w:instrText xml:space="preserve">eq \o\ac(□,</w:instrText>
            </w:r>
            <w:r>
              <w:rPr>
                <w:rFonts w:hint="eastAsia" w:ascii="宋体" w:hAnsi="宋体"/>
                <w:color w:val="auto"/>
                <w:position w:val="2"/>
                <w:sz w:val="16"/>
                <w:szCs w:val="24"/>
              </w:rPr>
              <w:instrText xml:space="preserve">√</w:instrText>
            </w:r>
            <w:r>
              <w:rPr>
                <w:rFonts w:hint="eastAsia" w:ascii="宋体" w:hAnsi="宋体"/>
                <w:color w:val="auto"/>
                <w:sz w:val="24"/>
                <w:szCs w:val="24"/>
              </w:rPr>
              <w:instrText xml:space="preserve">)</w:instrText>
            </w:r>
            <w:r>
              <w:rPr>
                <w:rFonts w:ascii="宋体" w:hAnsi="宋体"/>
                <w:color w:val="auto"/>
                <w:sz w:val="24"/>
                <w:szCs w:val="24"/>
              </w:rPr>
              <w:fldChar w:fldCharType="end"/>
            </w:r>
            <w:r>
              <w:rPr>
                <w:rFonts w:ascii="宋体" w:hAnsi="宋体"/>
                <w:color w:val="auto"/>
                <w:sz w:val="24"/>
                <w:szCs w:val="24"/>
              </w:rPr>
              <w:t>新建□改建□扩建□其它</w:t>
            </w:r>
          </w:p>
        </w:tc>
        <w:tc>
          <w:tcPr>
            <w:tcW w:w="1950" w:type="dxa"/>
            <w:gridSpan w:val="2"/>
            <w:noWrap w:val="0"/>
            <w:vAlign w:val="center"/>
          </w:tcPr>
          <w:p>
            <w:pPr>
              <w:spacing w:line="360" w:lineRule="auto"/>
              <w:jc w:val="center"/>
              <w:rPr>
                <w:rFonts w:ascii="Times New Roman" w:hAnsi="Times New Roman"/>
                <w:color w:val="auto"/>
                <w:sz w:val="24"/>
                <w:szCs w:val="24"/>
              </w:rPr>
            </w:pPr>
            <w:r>
              <w:rPr>
                <w:rFonts w:ascii="Times New Roman" w:hAnsi="Times New Roman"/>
                <w:color w:val="auto"/>
                <w:sz w:val="24"/>
                <w:szCs w:val="24"/>
              </w:rPr>
              <w:t>占地面积m</w:t>
            </w:r>
            <w:r>
              <w:rPr>
                <w:rFonts w:ascii="Times New Roman" w:hAnsi="Times New Roman"/>
                <w:color w:val="auto"/>
                <w:sz w:val="24"/>
                <w:szCs w:val="24"/>
                <w:vertAlign w:val="superscript"/>
              </w:rPr>
              <w:t>2</w:t>
            </w:r>
          </w:p>
        </w:tc>
        <w:tc>
          <w:tcPr>
            <w:tcW w:w="862" w:type="dxa"/>
            <w:gridSpan w:val="2"/>
            <w:noWrap w:val="0"/>
            <w:vAlign w:val="center"/>
          </w:tcPr>
          <w:p>
            <w:pPr>
              <w:spacing w:line="360" w:lineRule="auto"/>
              <w:jc w:val="center"/>
              <w:rPr>
                <w:rFonts w:ascii="Times New Roman" w:hAnsi="Times New Roman"/>
                <w:color w:val="auto"/>
                <w:sz w:val="24"/>
                <w:szCs w:val="24"/>
              </w:rPr>
            </w:pPr>
            <w:r>
              <w:rPr>
                <w:rFonts w:ascii="Times New Roman" w:hAnsi="Times New Roman"/>
                <w:color w:val="auto"/>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Merge w:val="restart"/>
            <w:noWrap w:val="0"/>
            <w:vAlign w:val="center"/>
          </w:tcPr>
          <w:p>
            <w:pPr>
              <w:spacing w:line="360" w:lineRule="auto"/>
              <w:jc w:val="center"/>
              <w:rPr>
                <w:rFonts w:ascii="宋体" w:hAnsi="宋体"/>
                <w:color w:val="auto"/>
                <w:sz w:val="24"/>
                <w:szCs w:val="24"/>
              </w:rPr>
            </w:pPr>
            <w:r>
              <w:rPr>
                <w:rFonts w:hint="eastAsia" w:ascii="宋体" w:hAnsi="宋体"/>
                <w:color w:val="auto"/>
                <w:sz w:val="24"/>
                <w:szCs w:val="24"/>
              </w:rPr>
              <w:t>应用</w:t>
            </w:r>
            <w:r>
              <w:rPr>
                <w:rFonts w:ascii="宋体" w:hAnsi="宋体"/>
                <w:color w:val="auto"/>
                <w:sz w:val="24"/>
                <w:szCs w:val="24"/>
              </w:rPr>
              <w:t>类型</w:t>
            </w:r>
          </w:p>
        </w:tc>
        <w:tc>
          <w:tcPr>
            <w:tcW w:w="1418" w:type="dxa"/>
            <w:vMerge w:val="restart"/>
            <w:noWrap w:val="0"/>
            <w:vAlign w:val="center"/>
          </w:tcPr>
          <w:p>
            <w:pPr>
              <w:spacing w:line="360" w:lineRule="auto"/>
              <w:jc w:val="center"/>
              <w:rPr>
                <w:rFonts w:ascii="宋体" w:hAnsi="宋体"/>
                <w:color w:val="auto"/>
                <w:sz w:val="24"/>
                <w:szCs w:val="24"/>
              </w:rPr>
            </w:pPr>
            <w:r>
              <w:rPr>
                <w:rFonts w:hint="eastAsia" w:ascii="宋体" w:hAnsi="宋体"/>
                <w:color w:val="auto"/>
                <w:sz w:val="24"/>
                <w:szCs w:val="24"/>
              </w:rPr>
              <w:t>放射源</w:t>
            </w:r>
          </w:p>
        </w:tc>
        <w:tc>
          <w:tcPr>
            <w:tcW w:w="1095" w:type="dxa"/>
            <w:noWrap w:val="0"/>
            <w:vAlign w:val="center"/>
          </w:tcPr>
          <w:p>
            <w:pPr>
              <w:spacing w:line="360" w:lineRule="auto"/>
              <w:jc w:val="center"/>
              <w:rPr>
                <w:rFonts w:ascii="宋体" w:hAnsi="宋体"/>
                <w:color w:val="auto"/>
                <w:sz w:val="24"/>
                <w:szCs w:val="24"/>
              </w:rPr>
            </w:pPr>
            <w:r>
              <w:rPr>
                <w:rFonts w:ascii="宋体" w:hAnsi="宋体"/>
                <w:color w:val="auto"/>
                <w:sz w:val="24"/>
                <w:szCs w:val="24"/>
              </w:rPr>
              <w:t>□</w:t>
            </w:r>
            <w:r>
              <w:rPr>
                <w:rFonts w:hint="eastAsia" w:ascii="宋体" w:hAnsi="宋体"/>
                <w:color w:val="auto"/>
                <w:sz w:val="24"/>
                <w:szCs w:val="24"/>
              </w:rPr>
              <w:t>销售</w:t>
            </w:r>
          </w:p>
        </w:tc>
        <w:tc>
          <w:tcPr>
            <w:tcW w:w="6281" w:type="dxa"/>
            <w:gridSpan w:val="7"/>
            <w:noWrap w:val="0"/>
            <w:vAlign w:val="center"/>
          </w:tcPr>
          <w:p>
            <w:pPr>
              <w:spacing w:line="360" w:lineRule="auto"/>
              <w:jc w:val="center"/>
              <w:rPr>
                <w:rFonts w:ascii="宋体" w:hAnsi="宋体"/>
                <w:color w:val="auto"/>
                <w:sz w:val="24"/>
                <w:szCs w:val="24"/>
              </w:rPr>
            </w:pPr>
            <w:r>
              <w:rPr>
                <w:rFonts w:ascii="宋体" w:hAnsi="宋体"/>
                <w:color w:val="auto"/>
                <w:sz w:val="24"/>
                <w:szCs w:val="24"/>
              </w:rPr>
              <w:t>□</w:t>
            </w:r>
            <w:r>
              <w:rPr>
                <w:rFonts w:ascii="Times New Roman" w:hAnsi="Times New Roman"/>
                <w:color w:val="auto"/>
                <w:sz w:val="24"/>
                <w:szCs w:val="24"/>
              </w:rPr>
              <w:t>I类</w:t>
            </w:r>
            <w:r>
              <w:rPr>
                <w:rFonts w:ascii="宋体" w:hAnsi="宋体"/>
                <w:color w:val="auto"/>
                <w:sz w:val="24"/>
                <w:szCs w:val="24"/>
              </w:rPr>
              <w:t>□</w:t>
            </w:r>
            <w:r>
              <w:rPr>
                <w:rFonts w:ascii="Times New Roman" w:hAnsi="Times New Roman"/>
                <w:color w:val="auto"/>
                <w:sz w:val="24"/>
                <w:szCs w:val="24"/>
              </w:rPr>
              <w:t>II类</w:t>
            </w:r>
            <w:r>
              <w:rPr>
                <w:rFonts w:ascii="宋体" w:hAnsi="宋体"/>
                <w:color w:val="auto"/>
                <w:sz w:val="24"/>
                <w:szCs w:val="24"/>
              </w:rPr>
              <w:t>□</w:t>
            </w:r>
            <w:r>
              <w:rPr>
                <w:rFonts w:hint="eastAsia" w:ascii="Times New Roman" w:hAnsi="Times New Roman"/>
                <w:color w:val="auto"/>
                <w:sz w:val="24"/>
                <w:szCs w:val="24"/>
              </w:rPr>
              <w:t>III</w:t>
            </w:r>
            <w:r>
              <w:rPr>
                <w:rFonts w:ascii="Times New Roman" w:hAnsi="Times New Roman"/>
                <w:color w:val="auto"/>
                <w:sz w:val="24"/>
                <w:szCs w:val="24"/>
              </w:rPr>
              <w:t>类</w:t>
            </w:r>
            <w:r>
              <w:rPr>
                <w:rFonts w:ascii="宋体" w:hAnsi="宋体"/>
                <w:color w:val="auto"/>
                <w:sz w:val="24"/>
                <w:szCs w:val="24"/>
              </w:rPr>
              <w:t>□</w:t>
            </w:r>
            <w:r>
              <w:rPr>
                <w:rFonts w:ascii="Times New Roman" w:hAnsi="Times New Roman"/>
                <w:color w:val="auto"/>
                <w:sz w:val="24"/>
                <w:szCs w:val="24"/>
              </w:rPr>
              <w:t>IV类</w:t>
            </w:r>
            <w:r>
              <w:rPr>
                <w:rFonts w:ascii="宋体" w:hAnsi="宋体"/>
                <w:color w:val="auto"/>
                <w:sz w:val="24"/>
                <w:szCs w:val="24"/>
              </w:rPr>
              <w:t>□</w:t>
            </w:r>
            <w:r>
              <w:rPr>
                <w:rFonts w:ascii="Times New Roman" w:hAnsi="Times New Roman"/>
                <w:color w:val="auto"/>
                <w:sz w:val="24"/>
                <w:szCs w:val="24"/>
              </w:rPr>
              <w:t>V类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Merge w:val="continue"/>
            <w:noWrap w:val="0"/>
            <w:vAlign w:val="center"/>
          </w:tcPr>
          <w:p>
            <w:pPr>
              <w:spacing w:line="360" w:lineRule="auto"/>
              <w:jc w:val="center"/>
              <w:rPr>
                <w:rFonts w:ascii="宋体" w:hAnsi="宋体"/>
                <w:color w:val="auto"/>
                <w:sz w:val="24"/>
                <w:szCs w:val="24"/>
              </w:rPr>
            </w:pPr>
          </w:p>
        </w:tc>
        <w:tc>
          <w:tcPr>
            <w:tcW w:w="1418" w:type="dxa"/>
            <w:vMerge w:val="continue"/>
            <w:noWrap w:val="0"/>
            <w:vAlign w:val="center"/>
          </w:tcPr>
          <w:p>
            <w:pPr>
              <w:spacing w:line="360" w:lineRule="auto"/>
              <w:jc w:val="center"/>
              <w:rPr>
                <w:rFonts w:ascii="宋体" w:hAnsi="宋体"/>
                <w:color w:val="auto"/>
                <w:sz w:val="24"/>
                <w:szCs w:val="24"/>
              </w:rPr>
            </w:pPr>
          </w:p>
        </w:tc>
        <w:tc>
          <w:tcPr>
            <w:tcW w:w="1095" w:type="dxa"/>
            <w:noWrap w:val="0"/>
            <w:vAlign w:val="center"/>
          </w:tcPr>
          <w:p>
            <w:pPr>
              <w:spacing w:line="360" w:lineRule="auto"/>
              <w:jc w:val="center"/>
              <w:rPr>
                <w:rFonts w:ascii="宋体" w:hAnsi="宋体"/>
                <w:color w:val="auto"/>
                <w:sz w:val="24"/>
                <w:szCs w:val="24"/>
              </w:rPr>
            </w:pPr>
            <w:r>
              <w:rPr>
                <w:rFonts w:ascii="宋体" w:hAnsi="宋体"/>
                <w:color w:val="auto"/>
                <w:sz w:val="24"/>
                <w:szCs w:val="24"/>
              </w:rPr>
              <w:t>□</w:t>
            </w:r>
            <w:r>
              <w:rPr>
                <w:rFonts w:hint="eastAsia" w:ascii="宋体" w:hAnsi="宋体"/>
                <w:color w:val="auto"/>
                <w:sz w:val="24"/>
                <w:szCs w:val="24"/>
              </w:rPr>
              <w:t>使用</w:t>
            </w:r>
          </w:p>
        </w:tc>
        <w:tc>
          <w:tcPr>
            <w:tcW w:w="6281" w:type="dxa"/>
            <w:gridSpan w:val="7"/>
            <w:noWrap w:val="0"/>
            <w:vAlign w:val="center"/>
          </w:tcPr>
          <w:p>
            <w:pPr>
              <w:spacing w:line="360" w:lineRule="auto"/>
              <w:jc w:val="center"/>
              <w:rPr>
                <w:rFonts w:ascii="宋体" w:hAnsi="宋体"/>
                <w:color w:val="auto"/>
                <w:sz w:val="24"/>
                <w:szCs w:val="24"/>
              </w:rPr>
            </w:pPr>
            <w:r>
              <w:rPr>
                <w:rFonts w:ascii="宋体" w:hAnsi="宋体"/>
                <w:color w:val="auto"/>
                <w:sz w:val="24"/>
                <w:szCs w:val="24"/>
              </w:rPr>
              <w:t>□</w:t>
            </w:r>
            <w:r>
              <w:rPr>
                <w:rFonts w:ascii="Times New Roman" w:hAnsi="Times New Roman"/>
                <w:color w:val="auto"/>
                <w:sz w:val="24"/>
                <w:szCs w:val="24"/>
              </w:rPr>
              <w:t>I类</w:t>
            </w:r>
            <w:r>
              <w:rPr>
                <w:rFonts w:hint="eastAsia" w:ascii="Times New Roman" w:hAnsi="Times New Roman"/>
                <w:color w:val="auto"/>
                <w:sz w:val="24"/>
                <w:szCs w:val="24"/>
              </w:rPr>
              <w:t>（医疗</w:t>
            </w:r>
            <w:r>
              <w:rPr>
                <w:rFonts w:ascii="Times New Roman" w:hAnsi="Times New Roman"/>
                <w:color w:val="auto"/>
                <w:sz w:val="24"/>
                <w:szCs w:val="24"/>
              </w:rPr>
              <w:t>使用</w:t>
            </w:r>
            <w:r>
              <w:rPr>
                <w:rFonts w:hint="eastAsia" w:ascii="Times New Roman" w:hAnsi="Times New Roman"/>
                <w:color w:val="auto"/>
                <w:sz w:val="24"/>
                <w:szCs w:val="24"/>
              </w:rPr>
              <w:t>）</w:t>
            </w:r>
            <w:r>
              <w:rPr>
                <w:rFonts w:ascii="宋体" w:hAnsi="宋体"/>
                <w:color w:val="auto"/>
                <w:sz w:val="24"/>
                <w:szCs w:val="24"/>
              </w:rPr>
              <w:t>□</w:t>
            </w:r>
            <w:r>
              <w:rPr>
                <w:rFonts w:ascii="Times New Roman" w:hAnsi="Times New Roman"/>
                <w:color w:val="auto"/>
                <w:sz w:val="24"/>
                <w:szCs w:val="24"/>
              </w:rPr>
              <w:t>II类</w:t>
            </w:r>
            <w:r>
              <w:rPr>
                <w:rFonts w:ascii="宋体" w:hAnsi="宋体"/>
                <w:color w:val="auto"/>
                <w:sz w:val="24"/>
                <w:szCs w:val="24"/>
              </w:rPr>
              <w:t>□</w:t>
            </w:r>
            <w:r>
              <w:rPr>
                <w:rFonts w:hint="eastAsia" w:ascii="Times New Roman" w:hAnsi="Times New Roman"/>
                <w:color w:val="auto"/>
                <w:sz w:val="24"/>
                <w:szCs w:val="24"/>
              </w:rPr>
              <w:t>III</w:t>
            </w:r>
            <w:r>
              <w:rPr>
                <w:rFonts w:ascii="Times New Roman" w:hAnsi="Times New Roman"/>
                <w:color w:val="auto"/>
                <w:sz w:val="24"/>
                <w:szCs w:val="24"/>
              </w:rPr>
              <w:t>类</w:t>
            </w:r>
            <w:r>
              <w:rPr>
                <w:rFonts w:ascii="宋体" w:hAnsi="宋体"/>
                <w:color w:val="auto"/>
                <w:sz w:val="24"/>
                <w:szCs w:val="24"/>
              </w:rPr>
              <w:t>□</w:t>
            </w:r>
            <w:r>
              <w:rPr>
                <w:rFonts w:ascii="Times New Roman" w:hAnsi="Times New Roman"/>
                <w:color w:val="auto"/>
                <w:sz w:val="24"/>
                <w:szCs w:val="24"/>
              </w:rPr>
              <w:t>IV类</w:t>
            </w:r>
            <w:r>
              <w:rPr>
                <w:rFonts w:ascii="宋体" w:hAnsi="宋体"/>
                <w:color w:val="auto"/>
                <w:sz w:val="24"/>
                <w:szCs w:val="24"/>
              </w:rPr>
              <w:t>□</w:t>
            </w:r>
            <w:r>
              <w:rPr>
                <w:rFonts w:ascii="Times New Roman" w:hAnsi="Times New Roman"/>
                <w:color w:val="auto"/>
                <w:sz w:val="24"/>
                <w:szCs w:val="24"/>
              </w:rPr>
              <w:t>V类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Merge w:val="continue"/>
            <w:noWrap w:val="0"/>
            <w:vAlign w:val="center"/>
          </w:tcPr>
          <w:p>
            <w:pPr>
              <w:spacing w:line="360" w:lineRule="auto"/>
              <w:jc w:val="center"/>
              <w:rPr>
                <w:rFonts w:ascii="宋体" w:hAnsi="宋体"/>
                <w:color w:val="auto"/>
                <w:sz w:val="24"/>
                <w:szCs w:val="24"/>
              </w:rPr>
            </w:pPr>
          </w:p>
        </w:tc>
        <w:tc>
          <w:tcPr>
            <w:tcW w:w="1418" w:type="dxa"/>
            <w:vMerge w:val="restart"/>
            <w:noWrap w:val="0"/>
            <w:vAlign w:val="center"/>
          </w:tcPr>
          <w:p>
            <w:pPr>
              <w:spacing w:line="360" w:lineRule="auto"/>
              <w:jc w:val="center"/>
              <w:rPr>
                <w:rFonts w:ascii="宋体" w:hAnsi="宋体"/>
                <w:color w:val="auto"/>
                <w:sz w:val="24"/>
                <w:szCs w:val="24"/>
              </w:rPr>
            </w:pPr>
            <w:r>
              <w:rPr>
                <w:rFonts w:hint="eastAsia" w:ascii="宋体" w:hAnsi="宋体"/>
                <w:color w:val="auto"/>
                <w:sz w:val="24"/>
                <w:szCs w:val="24"/>
              </w:rPr>
              <w:t>非</w:t>
            </w:r>
            <w:r>
              <w:rPr>
                <w:rFonts w:ascii="宋体" w:hAnsi="宋体"/>
                <w:color w:val="auto"/>
                <w:sz w:val="24"/>
                <w:szCs w:val="24"/>
              </w:rPr>
              <w:t>密封</w:t>
            </w:r>
            <w:r>
              <w:rPr>
                <w:rFonts w:hint="eastAsia" w:ascii="宋体" w:hAnsi="宋体"/>
                <w:color w:val="auto"/>
                <w:sz w:val="24"/>
                <w:szCs w:val="24"/>
              </w:rPr>
              <w:t>放射性</w:t>
            </w:r>
            <w:r>
              <w:rPr>
                <w:rFonts w:ascii="宋体" w:hAnsi="宋体"/>
                <w:color w:val="auto"/>
                <w:sz w:val="24"/>
                <w:szCs w:val="24"/>
              </w:rPr>
              <w:t>物质</w:t>
            </w:r>
          </w:p>
        </w:tc>
        <w:tc>
          <w:tcPr>
            <w:tcW w:w="1095" w:type="dxa"/>
            <w:noWrap w:val="0"/>
            <w:vAlign w:val="center"/>
          </w:tcPr>
          <w:p>
            <w:pPr>
              <w:spacing w:line="360" w:lineRule="auto"/>
              <w:jc w:val="center"/>
              <w:rPr>
                <w:rFonts w:ascii="宋体" w:hAnsi="宋体"/>
                <w:color w:val="auto"/>
                <w:sz w:val="24"/>
                <w:szCs w:val="24"/>
              </w:rPr>
            </w:pPr>
            <w:r>
              <w:rPr>
                <w:rFonts w:ascii="宋体" w:hAnsi="宋体"/>
                <w:color w:val="auto"/>
                <w:sz w:val="24"/>
                <w:szCs w:val="24"/>
              </w:rPr>
              <w:t>□</w:t>
            </w:r>
            <w:r>
              <w:rPr>
                <w:rFonts w:hint="eastAsia" w:ascii="宋体" w:hAnsi="宋体"/>
                <w:color w:val="auto"/>
                <w:sz w:val="24"/>
                <w:szCs w:val="24"/>
              </w:rPr>
              <w:t>生产</w:t>
            </w:r>
          </w:p>
        </w:tc>
        <w:tc>
          <w:tcPr>
            <w:tcW w:w="6281" w:type="dxa"/>
            <w:gridSpan w:val="7"/>
            <w:noWrap w:val="0"/>
            <w:vAlign w:val="center"/>
          </w:tcPr>
          <w:p>
            <w:pPr>
              <w:spacing w:line="360" w:lineRule="auto"/>
              <w:jc w:val="center"/>
              <w:rPr>
                <w:rFonts w:ascii="宋体" w:hAnsi="宋体"/>
                <w:color w:val="auto"/>
                <w:sz w:val="24"/>
                <w:szCs w:val="24"/>
              </w:rPr>
            </w:pPr>
            <w:r>
              <w:rPr>
                <w:rFonts w:ascii="宋体" w:hAnsi="宋体"/>
                <w:color w:val="auto"/>
                <w:sz w:val="24"/>
                <w:szCs w:val="24"/>
              </w:rPr>
              <w:t>□</w:t>
            </w:r>
            <w:r>
              <w:rPr>
                <w:rFonts w:hint="eastAsia" w:ascii="宋体" w:hAnsi="宋体"/>
                <w:color w:val="auto"/>
                <w:sz w:val="24"/>
                <w:szCs w:val="24"/>
              </w:rPr>
              <w:t>制备</w:t>
            </w:r>
            <w:r>
              <w:rPr>
                <w:rFonts w:ascii="宋体" w:hAnsi="宋体"/>
                <w:color w:val="auto"/>
                <w:sz w:val="24"/>
                <w:szCs w:val="24"/>
              </w:rPr>
              <w:t>PET</w:t>
            </w:r>
            <w:r>
              <w:rPr>
                <w:rFonts w:hint="eastAsia" w:ascii="宋体" w:hAnsi="宋体"/>
                <w:color w:val="auto"/>
                <w:sz w:val="24"/>
                <w:szCs w:val="24"/>
              </w:rPr>
              <w:t>用放射性</w:t>
            </w:r>
            <w:r>
              <w:rPr>
                <w:rFonts w:ascii="宋体" w:hAnsi="宋体"/>
                <w:color w:val="auto"/>
                <w:sz w:val="24"/>
                <w:szCs w:val="24"/>
              </w:rPr>
              <w:t>药物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Merge w:val="continue"/>
            <w:noWrap w:val="0"/>
            <w:vAlign w:val="center"/>
          </w:tcPr>
          <w:p>
            <w:pPr>
              <w:spacing w:line="360" w:lineRule="auto"/>
              <w:jc w:val="center"/>
              <w:rPr>
                <w:rFonts w:ascii="宋体" w:hAnsi="宋体"/>
                <w:color w:val="auto"/>
                <w:sz w:val="24"/>
                <w:szCs w:val="24"/>
              </w:rPr>
            </w:pPr>
          </w:p>
        </w:tc>
        <w:tc>
          <w:tcPr>
            <w:tcW w:w="1418" w:type="dxa"/>
            <w:vMerge w:val="continue"/>
            <w:noWrap w:val="0"/>
            <w:vAlign w:val="center"/>
          </w:tcPr>
          <w:p>
            <w:pPr>
              <w:spacing w:line="360" w:lineRule="auto"/>
              <w:jc w:val="center"/>
              <w:rPr>
                <w:rFonts w:ascii="宋体" w:hAnsi="宋体"/>
                <w:color w:val="auto"/>
                <w:sz w:val="24"/>
                <w:szCs w:val="24"/>
              </w:rPr>
            </w:pPr>
          </w:p>
        </w:tc>
        <w:tc>
          <w:tcPr>
            <w:tcW w:w="1095" w:type="dxa"/>
            <w:noWrap w:val="0"/>
            <w:vAlign w:val="center"/>
          </w:tcPr>
          <w:p>
            <w:pPr>
              <w:spacing w:line="360" w:lineRule="auto"/>
              <w:jc w:val="center"/>
              <w:rPr>
                <w:rFonts w:ascii="宋体" w:hAnsi="宋体"/>
                <w:color w:val="auto"/>
                <w:sz w:val="24"/>
                <w:szCs w:val="24"/>
              </w:rPr>
            </w:pPr>
            <w:r>
              <w:rPr>
                <w:rFonts w:ascii="宋体" w:hAnsi="宋体"/>
                <w:color w:val="auto"/>
                <w:sz w:val="24"/>
                <w:szCs w:val="24"/>
              </w:rPr>
              <w:t>□</w:t>
            </w:r>
            <w:r>
              <w:rPr>
                <w:rFonts w:hint="eastAsia" w:ascii="宋体" w:hAnsi="宋体"/>
                <w:color w:val="auto"/>
                <w:sz w:val="24"/>
                <w:szCs w:val="24"/>
              </w:rPr>
              <w:t>销售</w:t>
            </w:r>
          </w:p>
        </w:tc>
        <w:tc>
          <w:tcPr>
            <w:tcW w:w="6281" w:type="dxa"/>
            <w:gridSpan w:val="7"/>
            <w:noWrap w:val="0"/>
            <w:vAlign w:val="center"/>
          </w:tcPr>
          <w:p>
            <w:pPr>
              <w:spacing w:line="360" w:lineRule="auto"/>
              <w:jc w:val="center"/>
              <w:rPr>
                <w:rFonts w:ascii="宋体" w:hAnsi="宋体"/>
                <w:color w:val="auto"/>
                <w:sz w:val="24"/>
                <w:szCs w:val="24"/>
              </w:rPr>
            </w:pPr>
            <w:r>
              <w:rPr>
                <w:rFonts w:hint="eastAsia" w:ascii="宋体" w:hAnsi="宋体"/>
                <w:color w:val="auto"/>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Merge w:val="continue"/>
            <w:noWrap w:val="0"/>
            <w:vAlign w:val="center"/>
          </w:tcPr>
          <w:p>
            <w:pPr>
              <w:spacing w:line="360" w:lineRule="auto"/>
              <w:jc w:val="center"/>
              <w:rPr>
                <w:rFonts w:ascii="宋体" w:hAnsi="宋体"/>
                <w:color w:val="auto"/>
                <w:sz w:val="24"/>
                <w:szCs w:val="24"/>
              </w:rPr>
            </w:pPr>
          </w:p>
        </w:tc>
        <w:tc>
          <w:tcPr>
            <w:tcW w:w="1418" w:type="dxa"/>
            <w:vMerge w:val="continue"/>
            <w:noWrap w:val="0"/>
            <w:vAlign w:val="center"/>
          </w:tcPr>
          <w:p>
            <w:pPr>
              <w:spacing w:line="360" w:lineRule="auto"/>
              <w:jc w:val="center"/>
              <w:rPr>
                <w:rFonts w:ascii="宋体" w:hAnsi="宋体"/>
                <w:color w:val="auto"/>
                <w:sz w:val="24"/>
                <w:szCs w:val="24"/>
              </w:rPr>
            </w:pPr>
          </w:p>
        </w:tc>
        <w:tc>
          <w:tcPr>
            <w:tcW w:w="1095" w:type="dxa"/>
            <w:noWrap w:val="0"/>
            <w:vAlign w:val="center"/>
          </w:tcPr>
          <w:p>
            <w:pPr>
              <w:spacing w:line="360" w:lineRule="auto"/>
              <w:jc w:val="center"/>
              <w:rPr>
                <w:rFonts w:ascii="宋体" w:hAnsi="宋体"/>
                <w:color w:val="auto"/>
                <w:sz w:val="24"/>
                <w:szCs w:val="24"/>
              </w:rPr>
            </w:pPr>
            <w:r>
              <w:rPr>
                <w:rFonts w:ascii="宋体" w:hAnsi="宋体"/>
                <w:color w:val="auto"/>
                <w:sz w:val="24"/>
                <w:szCs w:val="24"/>
              </w:rPr>
              <w:t>□</w:t>
            </w:r>
            <w:r>
              <w:rPr>
                <w:rFonts w:hint="eastAsia" w:ascii="宋体" w:hAnsi="宋体"/>
                <w:color w:val="auto"/>
                <w:sz w:val="24"/>
                <w:szCs w:val="24"/>
              </w:rPr>
              <w:t>使用</w:t>
            </w:r>
          </w:p>
        </w:tc>
        <w:tc>
          <w:tcPr>
            <w:tcW w:w="6281" w:type="dxa"/>
            <w:gridSpan w:val="7"/>
            <w:noWrap w:val="0"/>
            <w:vAlign w:val="center"/>
          </w:tcPr>
          <w:p>
            <w:pPr>
              <w:spacing w:line="360" w:lineRule="auto"/>
              <w:jc w:val="center"/>
              <w:rPr>
                <w:rFonts w:ascii="宋体" w:hAnsi="宋体"/>
                <w:color w:val="auto"/>
                <w:sz w:val="24"/>
                <w:szCs w:val="24"/>
              </w:rPr>
            </w:pPr>
            <w:r>
              <w:rPr>
                <w:rFonts w:ascii="宋体" w:hAnsi="宋体"/>
                <w:color w:val="auto"/>
                <w:sz w:val="24"/>
                <w:szCs w:val="24"/>
              </w:rPr>
              <w:t>□</w:t>
            </w:r>
            <w:r>
              <w:rPr>
                <w:rFonts w:hint="eastAsia" w:ascii="宋体" w:hAnsi="宋体"/>
                <w:color w:val="auto"/>
                <w:sz w:val="24"/>
                <w:szCs w:val="24"/>
              </w:rPr>
              <w:t>乙</w:t>
            </w:r>
            <w:r>
              <w:rPr>
                <w:rFonts w:ascii="宋体" w:hAnsi="宋体"/>
                <w:color w:val="auto"/>
                <w:sz w:val="24"/>
                <w:szCs w:val="24"/>
              </w:rPr>
              <w:t>□</w:t>
            </w:r>
            <w:r>
              <w:rPr>
                <w:rFonts w:hint="eastAsia" w:ascii="宋体" w:hAnsi="宋体"/>
                <w:color w:val="auto"/>
                <w:sz w:val="24"/>
                <w:szCs w:val="24"/>
              </w:rPr>
              <w:t>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Merge w:val="continue"/>
            <w:noWrap w:val="0"/>
            <w:vAlign w:val="center"/>
          </w:tcPr>
          <w:p>
            <w:pPr>
              <w:spacing w:line="360" w:lineRule="auto"/>
              <w:jc w:val="center"/>
              <w:rPr>
                <w:rFonts w:ascii="宋体" w:hAnsi="宋体"/>
                <w:color w:val="auto"/>
                <w:sz w:val="24"/>
                <w:szCs w:val="24"/>
              </w:rPr>
            </w:pPr>
          </w:p>
        </w:tc>
        <w:tc>
          <w:tcPr>
            <w:tcW w:w="1418" w:type="dxa"/>
            <w:vMerge w:val="restart"/>
            <w:noWrap w:val="0"/>
            <w:vAlign w:val="center"/>
          </w:tcPr>
          <w:p>
            <w:pPr>
              <w:spacing w:line="360" w:lineRule="auto"/>
              <w:jc w:val="center"/>
              <w:rPr>
                <w:rFonts w:ascii="宋体" w:hAnsi="宋体"/>
                <w:color w:val="auto"/>
                <w:sz w:val="24"/>
                <w:szCs w:val="24"/>
              </w:rPr>
            </w:pPr>
            <w:r>
              <w:rPr>
                <w:rFonts w:hint="eastAsia" w:ascii="宋体" w:hAnsi="宋体"/>
                <w:color w:val="auto"/>
                <w:sz w:val="24"/>
                <w:szCs w:val="24"/>
              </w:rPr>
              <w:t>射线</w:t>
            </w:r>
            <w:r>
              <w:rPr>
                <w:rFonts w:ascii="宋体" w:hAnsi="宋体"/>
                <w:color w:val="auto"/>
                <w:sz w:val="24"/>
                <w:szCs w:val="24"/>
              </w:rPr>
              <w:t>装置</w:t>
            </w:r>
          </w:p>
        </w:tc>
        <w:tc>
          <w:tcPr>
            <w:tcW w:w="1095" w:type="dxa"/>
            <w:noWrap w:val="0"/>
            <w:vAlign w:val="center"/>
          </w:tcPr>
          <w:p>
            <w:pPr>
              <w:spacing w:line="360" w:lineRule="auto"/>
              <w:jc w:val="center"/>
              <w:rPr>
                <w:rFonts w:ascii="宋体" w:hAnsi="宋体"/>
                <w:color w:val="auto"/>
                <w:sz w:val="24"/>
                <w:szCs w:val="24"/>
              </w:rPr>
            </w:pPr>
            <w:r>
              <w:rPr>
                <w:rFonts w:ascii="宋体" w:hAnsi="宋体"/>
                <w:color w:val="auto"/>
                <w:sz w:val="24"/>
                <w:szCs w:val="24"/>
              </w:rPr>
              <w:t>□</w:t>
            </w:r>
            <w:r>
              <w:rPr>
                <w:rFonts w:hint="eastAsia" w:ascii="宋体" w:hAnsi="宋体"/>
                <w:color w:val="auto"/>
                <w:sz w:val="24"/>
                <w:szCs w:val="24"/>
              </w:rPr>
              <w:t>生产</w:t>
            </w:r>
          </w:p>
        </w:tc>
        <w:tc>
          <w:tcPr>
            <w:tcW w:w="6281" w:type="dxa"/>
            <w:gridSpan w:val="7"/>
            <w:noWrap w:val="0"/>
            <w:vAlign w:val="center"/>
          </w:tcPr>
          <w:p>
            <w:pPr>
              <w:spacing w:line="360" w:lineRule="auto"/>
              <w:jc w:val="center"/>
              <w:rPr>
                <w:rFonts w:ascii="宋体" w:hAnsi="宋体"/>
                <w:color w:val="auto"/>
                <w:sz w:val="24"/>
                <w:szCs w:val="24"/>
              </w:rPr>
            </w:pPr>
            <w:r>
              <w:rPr>
                <w:rFonts w:ascii="宋体" w:hAnsi="宋体"/>
                <w:color w:val="auto"/>
                <w:sz w:val="24"/>
                <w:szCs w:val="24"/>
              </w:rPr>
              <w:t>□</w:t>
            </w:r>
            <w:r>
              <w:rPr>
                <w:rFonts w:ascii="Times New Roman" w:hAnsi="Times New Roman"/>
                <w:color w:val="auto"/>
                <w:sz w:val="24"/>
                <w:szCs w:val="24"/>
              </w:rPr>
              <w:t>II类</w:t>
            </w:r>
            <w:r>
              <w:rPr>
                <w:rFonts w:ascii="宋体" w:hAnsi="宋体"/>
                <w:color w:val="auto"/>
                <w:sz w:val="24"/>
                <w:szCs w:val="24"/>
              </w:rPr>
              <w:t>□</w:t>
            </w:r>
            <w:r>
              <w:rPr>
                <w:rFonts w:hint="eastAsia" w:ascii="Times New Roman" w:hAnsi="Times New Roman"/>
                <w:color w:val="auto"/>
                <w:sz w:val="24"/>
                <w:szCs w:val="24"/>
              </w:rPr>
              <w:t>III</w:t>
            </w:r>
            <w:r>
              <w:rPr>
                <w:rFonts w:ascii="Times New Roman" w:hAnsi="Times New Roman"/>
                <w:color w:val="auto"/>
                <w:sz w:val="24"/>
                <w:szCs w:val="24"/>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Merge w:val="continue"/>
            <w:noWrap w:val="0"/>
            <w:vAlign w:val="center"/>
          </w:tcPr>
          <w:p>
            <w:pPr>
              <w:spacing w:line="360" w:lineRule="auto"/>
              <w:jc w:val="center"/>
              <w:rPr>
                <w:rFonts w:ascii="宋体" w:hAnsi="宋体"/>
                <w:color w:val="auto"/>
                <w:sz w:val="24"/>
                <w:szCs w:val="24"/>
              </w:rPr>
            </w:pPr>
          </w:p>
        </w:tc>
        <w:tc>
          <w:tcPr>
            <w:tcW w:w="1418" w:type="dxa"/>
            <w:vMerge w:val="continue"/>
            <w:noWrap w:val="0"/>
            <w:vAlign w:val="center"/>
          </w:tcPr>
          <w:p>
            <w:pPr>
              <w:spacing w:line="360" w:lineRule="auto"/>
              <w:jc w:val="center"/>
              <w:rPr>
                <w:rFonts w:ascii="宋体" w:hAnsi="宋体"/>
                <w:color w:val="auto"/>
                <w:sz w:val="24"/>
                <w:szCs w:val="24"/>
              </w:rPr>
            </w:pPr>
          </w:p>
        </w:tc>
        <w:tc>
          <w:tcPr>
            <w:tcW w:w="1095" w:type="dxa"/>
            <w:noWrap w:val="0"/>
            <w:vAlign w:val="center"/>
          </w:tcPr>
          <w:p>
            <w:pPr>
              <w:spacing w:line="360" w:lineRule="auto"/>
              <w:jc w:val="center"/>
              <w:rPr>
                <w:rFonts w:ascii="宋体" w:hAnsi="宋体"/>
                <w:color w:val="auto"/>
                <w:sz w:val="24"/>
                <w:szCs w:val="24"/>
              </w:rPr>
            </w:pPr>
            <w:r>
              <w:rPr>
                <w:rFonts w:ascii="宋体" w:hAnsi="宋体"/>
                <w:color w:val="auto"/>
                <w:sz w:val="24"/>
                <w:szCs w:val="24"/>
              </w:rPr>
              <w:sym w:font="Wingdings 2" w:char="00A3"/>
            </w:r>
            <w:r>
              <w:rPr>
                <w:rFonts w:hint="eastAsia" w:ascii="宋体" w:hAnsi="宋体"/>
                <w:color w:val="auto"/>
                <w:sz w:val="24"/>
                <w:szCs w:val="24"/>
              </w:rPr>
              <w:t>销售</w:t>
            </w:r>
          </w:p>
        </w:tc>
        <w:tc>
          <w:tcPr>
            <w:tcW w:w="6281" w:type="dxa"/>
            <w:gridSpan w:val="7"/>
            <w:noWrap w:val="0"/>
            <w:vAlign w:val="center"/>
          </w:tcPr>
          <w:p>
            <w:pPr>
              <w:spacing w:line="360" w:lineRule="auto"/>
              <w:jc w:val="center"/>
              <w:rPr>
                <w:rFonts w:ascii="宋体" w:hAnsi="宋体"/>
                <w:color w:val="auto"/>
                <w:sz w:val="24"/>
                <w:szCs w:val="24"/>
              </w:rPr>
            </w:pPr>
            <w:r>
              <w:rPr>
                <w:rFonts w:ascii="宋体" w:hAnsi="宋体"/>
                <w:color w:val="auto"/>
                <w:sz w:val="24"/>
                <w:szCs w:val="24"/>
              </w:rPr>
              <w:t>□</w:t>
            </w:r>
            <w:r>
              <w:rPr>
                <w:rFonts w:ascii="Times New Roman" w:hAnsi="Times New Roman"/>
                <w:color w:val="auto"/>
                <w:sz w:val="24"/>
                <w:szCs w:val="24"/>
              </w:rPr>
              <w:t>II类</w:t>
            </w:r>
            <w:r>
              <w:rPr>
                <w:rFonts w:ascii="宋体" w:hAnsi="宋体"/>
                <w:color w:val="auto"/>
                <w:sz w:val="24"/>
                <w:szCs w:val="24"/>
              </w:rPr>
              <w:t>□</w:t>
            </w:r>
            <w:r>
              <w:rPr>
                <w:rFonts w:hint="eastAsia" w:ascii="Times New Roman" w:hAnsi="Times New Roman"/>
                <w:color w:val="auto"/>
                <w:sz w:val="24"/>
                <w:szCs w:val="24"/>
              </w:rPr>
              <w:t>III</w:t>
            </w:r>
            <w:r>
              <w:rPr>
                <w:rFonts w:ascii="Times New Roman" w:hAnsi="Times New Roman"/>
                <w:color w:val="auto"/>
                <w:sz w:val="24"/>
                <w:szCs w:val="24"/>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Merge w:val="continue"/>
            <w:noWrap w:val="0"/>
            <w:vAlign w:val="center"/>
          </w:tcPr>
          <w:p>
            <w:pPr>
              <w:spacing w:line="360" w:lineRule="auto"/>
              <w:jc w:val="center"/>
              <w:rPr>
                <w:rFonts w:ascii="宋体" w:hAnsi="宋体"/>
                <w:color w:val="auto"/>
                <w:sz w:val="24"/>
                <w:szCs w:val="24"/>
              </w:rPr>
            </w:pPr>
          </w:p>
        </w:tc>
        <w:tc>
          <w:tcPr>
            <w:tcW w:w="1418" w:type="dxa"/>
            <w:vMerge w:val="continue"/>
            <w:noWrap w:val="0"/>
            <w:vAlign w:val="center"/>
          </w:tcPr>
          <w:p>
            <w:pPr>
              <w:spacing w:line="360" w:lineRule="auto"/>
              <w:jc w:val="center"/>
              <w:rPr>
                <w:rFonts w:ascii="宋体" w:hAnsi="宋体"/>
                <w:color w:val="auto"/>
                <w:sz w:val="24"/>
                <w:szCs w:val="24"/>
              </w:rPr>
            </w:pPr>
          </w:p>
        </w:tc>
        <w:tc>
          <w:tcPr>
            <w:tcW w:w="1095" w:type="dxa"/>
            <w:noWrap w:val="0"/>
            <w:vAlign w:val="center"/>
          </w:tcPr>
          <w:p>
            <w:pPr>
              <w:spacing w:line="360" w:lineRule="auto"/>
              <w:jc w:val="center"/>
              <w:rPr>
                <w:rFonts w:ascii="宋体" w:hAnsi="宋体"/>
                <w:bCs/>
                <w:color w:val="auto"/>
                <w:sz w:val="24"/>
                <w:szCs w:val="24"/>
              </w:rPr>
            </w:pPr>
            <w:r>
              <w:rPr>
                <w:rFonts w:ascii="宋体" w:hAnsi="宋体"/>
                <w:bCs/>
                <w:color w:val="auto"/>
                <w:sz w:val="24"/>
                <w:szCs w:val="24"/>
              </w:rPr>
              <w:fldChar w:fldCharType="begin"/>
            </w:r>
            <w:r>
              <w:rPr>
                <w:rFonts w:hint="eastAsia" w:ascii="宋体" w:hAnsi="宋体"/>
                <w:bCs/>
                <w:color w:val="auto"/>
                <w:sz w:val="24"/>
                <w:szCs w:val="24"/>
              </w:rPr>
              <w:instrText xml:space="preserve">eq \o\ac(□,</w:instrText>
            </w:r>
            <w:r>
              <w:rPr>
                <w:rFonts w:hint="eastAsia" w:ascii="宋体" w:hAnsi="宋体"/>
                <w:bCs/>
                <w:color w:val="auto"/>
                <w:position w:val="2"/>
                <w:sz w:val="16"/>
                <w:szCs w:val="24"/>
              </w:rPr>
              <w:instrText xml:space="preserve">√</w:instrText>
            </w:r>
            <w:r>
              <w:rPr>
                <w:rFonts w:hint="eastAsia" w:ascii="宋体" w:hAnsi="宋体"/>
                <w:bCs/>
                <w:color w:val="auto"/>
                <w:sz w:val="24"/>
                <w:szCs w:val="24"/>
              </w:rPr>
              <w:instrText xml:space="preserve">)</w:instrText>
            </w:r>
            <w:r>
              <w:rPr>
                <w:rFonts w:ascii="宋体" w:hAnsi="宋体"/>
                <w:bCs/>
                <w:color w:val="auto"/>
                <w:sz w:val="24"/>
                <w:szCs w:val="24"/>
              </w:rPr>
              <w:fldChar w:fldCharType="end"/>
            </w:r>
            <w:r>
              <w:rPr>
                <w:rFonts w:hint="eastAsia" w:ascii="宋体" w:hAnsi="宋体"/>
                <w:bCs/>
                <w:color w:val="auto"/>
                <w:sz w:val="24"/>
                <w:szCs w:val="24"/>
              </w:rPr>
              <w:t>使用</w:t>
            </w:r>
          </w:p>
        </w:tc>
        <w:tc>
          <w:tcPr>
            <w:tcW w:w="6281" w:type="dxa"/>
            <w:gridSpan w:val="7"/>
            <w:noWrap w:val="0"/>
            <w:vAlign w:val="center"/>
          </w:tcPr>
          <w:p>
            <w:pPr>
              <w:spacing w:line="360" w:lineRule="auto"/>
              <w:jc w:val="center"/>
              <w:rPr>
                <w:rFonts w:ascii="宋体" w:hAnsi="宋体"/>
                <w:bCs/>
                <w:color w:val="auto"/>
                <w:sz w:val="24"/>
                <w:szCs w:val="24"/>
              </w:rPr>
            </w:pPr>
            <w:r>
              <w:rPr>
                <w:rFonts w:ascii="宋体" w:hAnsi="宋体"/>
                <w:bCs/>
                <w:color w:val="auto"/>
                <w:sz w:val="24"/>
                <w:szCs w:val="24"/>
              </w:rPr>
              <w:fldChar w:fldCharType="begin"/>
            </w:r>
            <w:r>
              <w:rPr>
                <w:rFonts w:hint="eastAsia" w:ascii="宋体" w:hAnsi="宋体"/>
                <w:bCs/>
                <w:color w:val="auto"/>
                <w:sz w:val="24"/>
                <w:szCs w:val="24"/>
              </w:rPr>
              <w:instrText xml:space="preserve">eq \o\ac(□,</w:instrText>
            </w:r>
            <w:r>
              <w:rPr>
                <w:rFonts w:hint="eastAsia" w:ascii="宋体" w:hAnsi="宋体"/>
                <w:bCs/>
                <w:color w:val="auto"/>
                <w:position w:val="2"/>
                <w:sz w:val="16"/>
                <w:szCs w:val="24"/>
              </w:rPr>
              <w:instrText xml:space="preserve">√</w:instrText>
            </w:r>
            <w:r>
              <w:rPr>
                <w:rFonts w:hint="eastAsia" w:ascii="宋体" w:hAnsi="宋体"/>
                <w:bCs/>
                <w:color w:val="auto"/>
                <w:sz w:val="24"/>
                <w:szCs w:val="24"/>
              </w:rPr>
              <w:instrText xml:space="preserve">)</w:instrText>
            </w:r>
            <w:r>
              <w:rPr>
                <w:rFonts w:ascii="宋体" w:hAnsi="宋体"/>
                <w:bCs/>
                <w:color w:val="auto"/>
                <w:sz w:val="24"/>
                <w:szCs w:val="24"/>
              </w:rPr>
              <w:fldChar w:fldCharType="end"/>
            </w:r>
            <w:r>
              <w:rPr>
                <w:rFonts w:ascii="Times New Roman" w:hAnsi="Times New Roman"/>
                <w:bCs/>
                <w:color w:val="auto"/>
                <w:sz w:val="24"/>
                <w:szCs w:val="24"/>
              </w:rPr>
              <w:t>II类</w:t>
            </w:r>
            <w:r>
              <w:rPr>
                <w:rFonts w:ascii="宋体" w:hAnsi="宋体"/>
                <w:bCs/>
                <w:color w:val="auto"/>
                <w:sz w:val="24"/>
                <w:szCs w:val="24"/>
              </w:rPr>
              <w:t>□</w:t>
            </w:r>
            <w:r>
              <w:rPr>
                <w:rFonts w:hint="eastAsia" w:ascii="Times New Roman" w:hAnsi="Times New Roman"/>
                <w:bCs/>
                <w:color w:val="auto"/>
                <w:sz w:val="24"/>
                <w:szCs w:val="24"/>
              </w:rPr>
              <w:t>III</w:t>
            </w:r>
            <w:r>
              <w:rPr>
                <w:rFonts w:ascii="Times New Roman" w:hAnsi="Times New Roman"/>
                <w:bCs/>
                <w:color w:val="auto"/>
                <w:sz w:val="24"/>
                <w:szCs w:val="24"/>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Merge w:val="continue"/>
            <w:noWrap w:val="0"/>
            <w:vAlign w:val="center"/>
          </w:tcPr>
          <w:p>
            <w:pPr>
              <w:spacing w:line="360" w:lineRule="auto"/>
              <w:jc w:val="center"/>
              <w:rPr>
                <w:rFonts w:ascii="宋体" w:hAnsi="宋体"/>
                <w:color w:val="auto"/>
                <w:sz w:val="24"/>
                <w:szCs w:val="24"/>
              </w:rPr>
            </w:pPr>
          </w:p>
        </w:tc>
        <w:tc>
          <w:tcPr>
            <w:tcW w:w="1418" w:type="dxa"/>
            <w:noWrap w:val="0"/>
            <w:vAlign w:val="center"/>
          </w:tcPr>
          <w:p>
            <w:pPr>
              <w:spacing w:line="360" w:lineRule="auto"/>
              <w:jc w:val="center"/>
              <w:rPr>
                <w:rFonts w:ascii="宋体" w:hAnsi="宋体"/>
                <w:color w:val="auto"/>
                <w:sz w:val="24"/>
                <w:szCs w:val="24"/>
              </w:rPr>
            </w:pPr>
            <w:r>
              <w:rPr>
                <w:rFonts w:hint="eastAsia" w:ascii="宋体" w:hAnsi="宋体"/>
                <w:color w:val="auto"/>
                <w:sz w:val="24"/>
                <w:szCs w:val="24"/>
              </w:rPr>
              <w:t>其它</w:t>
            </w:r>
          </w:p>
        </w:tc>
        <w:tc>
          <w:tcPr>
            <w:tcW w:w="7376" w:type="dxa"/>
            <w:gridSpan w:val="8"/>
            <w:noWrap w:val="0"/>
            <w:vAlign w:val="center"/>
          </w:tcPr>
          <w:p>
            <w:pPr>
              <w:spacing w:line="360" w:lineRule="auto"/>
              <w:jc w:val="center"/>
              <w:rPr>
                <w:rFonts w:ascii="宋体" w:hAnsi="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56" w:type="dxa"/>
            <w:gridSpan w:val="10"/>
            <w:noWrap w:val="0"/>
            <w:vAlign w:val="center"/>
          </w:tcPr>
          <w:p>
            <w:pPr>
              <w:pStyle w:val="51"/>
              <w:rPr>
                <w:color w:val="auto"/>
              </w:rPr>
            </w:pPr>
            <w:bookmarkStart w:id="1" w:name="_Toc16442"/>
            <w:r>
              <w:rPr>
                <w:color w:val="auto"/>
              </w:rPr>
              <w:t>1</w:t>
            </w:r>
            <w:r>
              <w:rPr>
                <w:rFonts w:hint="eastAsia"/>
                <w:color w:val="auto"/>
              </w:rPr>
              <w:t>、项目</w:t>
            </w:r>
            <w:r>
              <w:rPr>
                <w:color w:val="auto"/>
              </w:rPr>
              <w:t>概况</w:t>
            </w:r>
            <w:bookmarkEnd w:id="1"/>
          </w:p>
          <w:p>
            <w:pPr>
              <w:pStyle w:val="45"/>
              <w:spacing w:before="156" w:after="156"/>
              <w:rPr>
                <w:color w:val="auto"/>
              </w:rPr>
            </w:pPr>
            <w:r>
              <w:rPr>
                <w:rFonts w:hint="eastAsia"/>
                <w:color w:val="auto"/>
              </w:rPr>
              <w:t>1</w:t>
            </w:r>
            <w:r>
              <w:rPr>
                <w:color w:val="auto"/>
              </w:rPr>
              <w:t>.1</w:t>
            </w:r>
            <w:r>
              <w:rPr>
                <w:rFonts w:hint="eastAsia"/>
                <w:color w:val="auto"/>
              </w:rPr>
              <w:t>单位</w:t>
            </w:r>
            <w:r>
              <w:rPr>
                <w:color w:val="auto"/>
              </w:rPr>
              <w:t>概况</w:t>
            </w:r>
          </w:p>
          <w:p>
            <w:pPr>
              <w:pStyle w:val="47"/>
              <w:rPr>
                <w:rFonts w:hint="eastAsia"/>
                <w:color w:val="auto"/>
              </w:rPr>
            </w:pPr>
            <w:r>
              <w:rPr>
                <w:rFonts w:hint="eastAsia" w:ascii="宋体" w:hAnsi="宋体"/>
                <w:color w:val="auto"/>
                <w:sz w:val="24"/>
                <w:szCs w:val="24"/>
                <w:lang w:eastAsia="zh-CN"/>
              </w:rPr>
              <w:t>长沙赛恩斯环保工程技术有限公司</w:t>
            </w:r>
            <w:r>
              <w:rPr>
                <w:rFonts w:hint="eastAsia" w:ascii="宋体" w:hAnsi="宋体"/>
                <w:color w:val="auto"/>
                <w:sz w:val="24"/>
                <w:szCs w:val="24"/>
                <w:lang w:val="en-US" w:eastAsia="zh-CN"/>
              </w:rPr>
              <w:t>原名</w:t>
            </w:r>
            <w:r>
              <w:rPr>
                <w:rFonts w:hint="eastAsia"/>
                <w:color w:val="auto"/>
              </w:rPr>
              <w:t>长沙赛恩斯环保科技有限公司（以下简称：公司）成立于2009年7月，是中南大学环境学院的学科性公司。公司拥有一支由专家、教授、高工等专业技术人员组成的高素质管理和研发团队，致力于废水处理药剂的研发、生产、销售以及“三废”治理工程、环保技术的研发和推广。公司立足国际发展前沿，针对重金属废水处理领域的重大基础问题开展研究，形成了拥有自主知识产权，具有国际先进水平、特色鲜明、前景广阔的重金属废水处理技术和产品，于2011年被评为湖南省高新技术企业，并先后获得国家中小企业科技创新计划项目、湖南省科技计划一般项目、长沙市创业富民项目等项目支持。公司共获得各项专利13项，拥有国家重金属污染防治先进实用技术6项。</w:t>
            </w:r>
          </w:p>
          <w:p>
            <w:pPr>
              <w:pStyle w:val="47"/>
              <w:rPr>
                <w:rFonts w:hint="default" w:eastAsia="宋体"/>
                <w:color w:val="auto"/>
                <w:lang w:val="en-US" w:eastAsia="zh-CN"/>
              </w:rPr>
            </w:pPr>
            <w:r>
              <w:rPr>
                <w:rFonts w:hint="eastAsia" w:ascii="宋体" w:hAnsi="宋体"/>
                <w:color w:val="auto"/>
                <w:sz w:val="24"/>
                <w:szCs w:val="24"/>
                <w:lang w:eastAsia="zh-CN"/>
              </w:rPr>
              <w:t>长沙赛恩斯环保工程技术有限公司</w:t>
            </w:r>
            <w:r>
              <w:rPr>
                <w:rFonts w:hint="eastAsia"/>
                <w:color w:val="auto"/>
              </w:rPr>
              <w:t>抓住良好发展时机，已于2013年在宁乡县宁乡高新区征地新建设了一条10万吨/年的生物制剂生产线（以下简称：一期工程），一期工程于2013年开展环境影响评价，2014年1月9日取得了湖南省环境保护厅下发的《关于长沙赛恩斯环保科技有限公司10万吨/年重金属废水处理药剂（生物制剂）建设项目环境影响报告书的批复》（湘环评[2014]3号），并于2015年12月21日取得了</w:t>
            </w:r>
            <w:r>
              <w:rPr>
                <w:rFonts w:hint="eastAsia"/>
                <w:color w:val="auto"/>
                <w:lang w:val="en-US" w:eastAsia="zh-CN"/>
              </w:rPr>
              <w:t>原</w:t>
            </w:r>
            <w:r>
              <w:rPr>
                <w:rFonts w:hint="eastAsia"/>
                <w:color w:val="auto"/>
              </w:rPr>
              <w:t>湖南省环境保护厅下发的《关于长沙赛恩斯环保科技有限公司10万吨/年重金属废水处理药剂（生物制剂）建设项目竣工环保验收意见的函》（湘环评验[2015]135号）。</w:t>
            </w:r>
            <w:r>
              <w:rPr>
                <w:rFonts w:hint="eastAsia"/>
                <w:color w:val="auto"/>
                <w:lang w:val="en-US" w:eastAsia="zh-CN"/>
              </w:rPr>
              <w:t>二期工程于</w:t>
            </w:r>
            <w:r>
              <w:rPr>
                <w:rFonts w:hint="eastAsia"/>
                <w:color w:val="auto"/>
              </w:rPr>
              <w:t>201</w:t>
            </w:r>
            <w:r>
              <w:rPr>
                <w:rFonts w:hint="eastAsia"/>
                <w:color w:val="auto"/>
                <w:lang w:val="en-US" w:eastAsia="zh-CN"/>
              </w:rPr>
              <w:t>7</w:t>
            </w:r>
            <w:r>
              <w:rPr>
                <w:rFonts w:hint="eastAsia"/>
                <w:color w:val="auto"/>
              </w:rPr>
              <w:t>年开展环境影响评价，201</w:t>
            </w:r>
            <w:r>
              <w:rPr>
                <w:rFonts w:hint="eastAsia"/>
                <w:color w:val="auto"/>
                <w:lang w:val="en-US" w:eastAsia="zh-CN"/>
              </w:rPr>
              <w:t>7</w:t>
            </w:r>
            <w:r>
              <w:rPr>
                <w:rFonts w:hint="eastAsia"/>
                <w:color w:val="auto"/>
              </w:rPr>
              <w:t>年</w:t>
            </w:r>
            <w:r>
              <w:rPr>
                <w:rFonts w:hint="eastAsia"/>
                <w:color w:val="auto"/>
                <w:lang w:val="en-US" w:eastAsia="zh-CN"/>
              </w:rPr>
              <w:t>4</w:t>
            </w:r>
            <w:r>
              <w:rPr>
                <w:rFonts w:hint="eastAsia"/>
                <w:color w:val="auto"/>
              </w:rPr>
              <w:t>月</w:t>
            </w:r>
            <w:r>
              <w:rPr>
                <w:rFonts w:hint="eastAsia"/>
                <w:color w:val="auto"/>
                <w:lang w:val="en-US" w:eastAsia="zh-CN"/>
              </w:rPr>
              <w:t>12</w:t>
            </w:r>
            <w:r>
              <w:rPr>
                <w:rFonts w:hint="eastAsia"/>
                <w:color w:val="auto"/>
              </w:rPr>
              <w:t>日取得了</w:t>
            </w:r>
            <w:r>
              <w:rPr>
                <w:rFonts w:hint="eastAsia"/>
                <w:color w:val="auto"/>
                <w:lang w:val="en-US" w:eastAsia="zh-CN"/>
              </w:rPr>
              <w:t>原长沙市环境保护局</w:t>
            </w:r>
            <w:r>
              <w:rPr>
                <w:rFonts w:hint="eastAsia"/>
                <w:color w:val="auto"/>
              </w:rPr>
              <w:t>下发的《关于长沙赛恩斯环保科技有限公司金属脱除用高分子复合凝胶吸附剂建设项目环境影响报告书的批复》（湘</w:t>
            </w:r>
            <w:r>
              <w:rPr>
                <w:rFonts w:hint="eastAsia"/>
                <w:color w:val="auto"/>
                <w:lang w:val="en-US" w:eastAsia="zh-CN"/>
              </w:rPr>
              <w:t>新</w:t>
            </w:r>
            <w:r>
              <w:rPr>
                <w:rFonts w:hint="eastAsia"/>
                <w:color w:val="auto"/>
              </w:rPr>
              <w:t>环</w:t>
            </w:r>
            <w:r>
              <w:rPr>
                <w:rFonts w:hint="eastAsia"/>
                <w:color w:val="auto"/>
                <w:lang w:val="en-US" w:eastAsia="zh-CN"/>
              </w:rPr>
              <w:t>发</w:t>
            </w:r>
            <w:r>
              <w:rPr>
                <w:rFonts w:hint="eastAsia"/>
                <w:color w:val="auto"/>
              </w:rPr>
              <w:t>[201</w:t>
            </w:r>
            <w:r>
              <w:rPr>
                <w:rFonts w:hint="eastAsia"/>
                <w:color w:val="auto"/>
                <w:lang w:val="en-US" w:eastAsia="zh-CN"/>
              </w:rPr>
              <w:t>7</w:t>
            </w:r>
            <w:r>
              <w:rPr>
                <w:rFonts w:hint="eastAsia"/>
                <w:color w:val="auto"/>
              </w:rPr>
              <w:t>]</w:t>
            </w:r>
            <w:r>
              <w:rPr>
                <w:rFonts w:hint="eastAsia"/>
                <w:color w:val="auto"/>
                <w:lang w:val="en-US" w:eastAsia="zh-CN"/>
              </w:rPr>
              <w:t>24</w:t>
            </w:r>
            <w:r>
              <w:rPr>
                <w:rFonts w:hint="eastAsia"/>
                <w:color w:val="auto"/>
              </w:rPr>
              <w:t>号）</w:t>
            </w:r>
            <w:r>
              <w:rPr>
                <w:rFonts w:hint="eastAsia"/>
                <w:color w:val="auto"/>
                <w:lang w:eastAsia="zh-CN"/>
              </w:rPr>
              <w:t>。</w:t>
            </w:r>
            <w:r>
              <w:rPr>
                <w:rFonts w:hint="eastAsia"/>
                <w:color w:val="auto"/>
                <w:lang w:val="en-US" w:eastAsia="zh-CN"/>
              </w:rPr>
              <w:t>相关环保手续见附件3</w:t>
            </w:r>
          </w:p>
          <w:p>
            <w:pPr>
              <w:pStyle w:val="45"/>
              <w:spacing w:before="156" w:after="156"/>
              <w:rPr>
                <w:color w:val="auto"/>
              </w:rPr>
            </w:pPr>
            <w:r>
              <w:rPr>
                <w:rFonts w:hint="eastAsia"/>
                <w:color w:val="auto"/>
              </w:rPr>
              <w:t>1.</w:t>
            </w:r>
            <w:r>
              <w:rPr>
                <w:color w:val="auto"/>
              </w:rPr>
              <w:t>2</w:t>
            </w:r>
            <w:r>
              <w:rPr>
                <w:rFonts w:hint="eastAsia"/>
                <w:color w:val="auto"/>
              </w:rPr>
              <w:t>项目由来</w:t>
            </w:r>
          </w:p>
          <w:p>
            <w:pPr>
              <w:pStyle w:val="30"/>
              <w:ind w:firstLine="480"/>
              <w:rPr>
                <w:color w:val="auto"/>
              </w:rPr>
            </w:pPr>
            <w:r>
              <w:rPr>
                <w:rFonts w:hint="eastAsia"/>
                <w:color w:val="auto"/>
                <w:u w:val="none"/>
              </w:rPr>
              <w:t>为</w:t>
            </w:r>
            <w:r>
              <w:rPr>
                <w:rFonts w:hint="eastAsia"/>
                <w:color w:val="auto"/>
                <w:u w:val="none"/>
                <w:lang w:val="en-US" w:eastAsia="zh-CN"/>
              </w:rPr>
              <w:t>满足</w:t>
            </w:r>
            <w:r>
              <w:rPr>
                <w:rFonts w:hint="eastAsia"/>
                <w:color w:val="auto"/>
                <w:u w:val="none"/>
              </w:rPr>
              <w:t>企业</w:t>
            </w:r>
            <w:r>
              <w:rPr>
                <w:rFonts w:hint="eastAsia"/>
                <w:color w:val="auto"/>
                <w:u w:val="none"/>
                <w:lang w:val="en-US" w:eastAsia="zh-CN"/>
              </w:rPr>
              <w:t>压力容器生产的发展需求</w:t>
            </w:r>
            <w:r>
              <w:rPr>
                <w:rFonts w:hint="eastAsia"/>
                <w:color w:val="auto"/>
                <w:u w:val="none"/>
              </w:rPr>
              <w:t>，</w:t>
            </w:r>
            <w:r>
              <w:rPr>
                <w:rFonts w:hint="eastAsia"/>
                <w:color w:val="auto"/>
                <w:u w:val="none"/>
                <w:lang w:eastAsia="zh-CN"/>
              </w:rPr>
              <w:t>长沙赛恩斯环保工程技术有限公司</w:t>
            </w:r>
            <w:r>
              <w:rPr>
                <w:rFonts w:hint="eastAsia"/>
                <w:color w:val="auto"/>
                <w:u w:val="none"/>
              </w:rPr>
              <w:t>拟在</w:t>
            </w:r>
            <w:r>
              <w:rPr>
                <w:rFonts w:hint="eastAsia"/>
                <w:color w:val="auto"/>
                <w:u w:val="none"/>
                <w:lang w:val="en-US" w:eastAsia="zh-CN"/>
              </w:rPr>
              <w:t>成套设备生产车间内</w:t>
            </w:r>
            <w:r>
              <w:rPr>
                <w:rFonts w:hint="eastAsia"/>
                <w:color w:val="auto"/>
                <w:u w:val="none"/>
              </w:rPr>
              <w:t>建设一间探伤室，使用</w:t>
            </w:r>
            <w:r>
              <w:rPr>
                <w:rFonts w:hint="eastAsia"/>
                <w:color w:val="auto"/>
                <w:u w:val="none"/>
                <w:lang w:val="en-US" w:eastAsia="zh-CN"/>
              </w:rPr>
              <w:t>ZXFlasee S-450型X射线数字成像(DR)检测系统</w:t>
            </w:r>
            <w:r>
              <w:rPr>
                <w:rFonts w:hint="eastAsia"/>
                <w:color w:val="auto"/>
                <w:u w:val="none"/>
              </w:rPr>
              <w:t>，</w:t>
            </w:r>
            <w:r>
              <w:rPr>
                <w:rFonts w:hint="eastAsia"/>
                <w:color w:val="auto"/>
              </w:rPr>
              <w:t>用于产品的无损检测，对照《关于发布&lt;射线装置分类&gt;的公告》（环境保护部国家卫生和计划生育委员会公告2017年第66号），工业用X射线探伤装置属于Ⅱ类射线装置。本项目仅开展室内探伤，不涉及</w:t>
            </w:r>
            <w:r>
              <w:rPr>
                <w:rFonts w:hint="eastAsia"/>
                <w:color w:val="auto"/>
                <w:lang w:val="en-US" w:eastAsia="zh-CN"/>
              </w:rPr>
              <w:t>室外</w:t>
            </w:r>
            <w:r>
              <w:rPr>
                <w:rFonts w:hint="eastAsia"/>
                <w:color w:val="auto"/>
              </w:rPr>
              <w:t>探伤。</w:t>
            </w:r>
          </w:p>
          <w:p>
            <w:pPr>
              <w:pStyle w:val="30"/>
              <w:ind w:firstLine="480"/>
              <w:rPr>
                <w:color w:val="auto"/>
              </w:rPr>
            </w:pPr>
            <w:r>
              <w:rPr>
                <w:rFonts w:hint="eastAsia"/>
                <w:color w:val="auto"/>
              </w:rPr>
              <w:t>根据《中华人民共和国环境影响评价法》、《中华人民共和国放射性污染防治法》以及《建设项目环境保护管理条例》等法律法规，新建X射线探伤室应用项目应进行环境影响评价，根据《建设项目环境影响评价分类管理名录》本项目属于“五十五、核与辐射”中“172、核技术利用建设项目—使用II类射线装置”，应编制环境影响报告表。</w:t>
            </w:r>
            <w:r>
              <w:rPr>
                <w:rFonts w:hint="eastAsia" w:ascii="宋体" w:hAnsi="宋体"/>
                <w:color w:val="auto"/>
                <w:szCs w:val="24"/>
                <w:lang w:eastAsia="zh-CN"/>
              </w:rPr>
              <w:t>长沙赛恩斯环保工程技术有限公司</w:t>
            </w:r>
            <w:r>
              <w:rPr>
                <w:rFonts w:hint="eastAsia"/>
                <w:color w:val="auto"/>
              </w:rPr>
              <w:t>委托湖南汇恒环境保护科技发展有限公司对本次新建核技术利用项目进行环境影响评价（委托书见附件1），评价单位人员在现场踏勘、收集有关资料的基础上，按照国家对辐射项目环境影响评价技术规范的要求，编制了本项目的辐射环境影响评价报告表。</w:t>
            </w:r>
          </w:p>
          <w:p>
            <w:pPr>
              <w:pStyle w:val="45"/>
              <w:spacing w:before="156" w:after="156"/>
              <w:rPr>
                <w:color w:val="auto"/>
              </w:rPr>
            </w:pPr>
            <w:r>
              <w:rPr>
                <w:rFonts w:hint="eastAsia"/>
                <w:color w:val="auto"/>
              </w:rPr>
              <w:t>1.3项目建设规模</w:t>
            </w:r>
          </w:p>
          <w:p>
            <w:pPr>
              <w:pStyle w:val="47"/>
              <w:rPr>
                <w:color w:val="auto"/>
              </w:rPr>
            </w:pPr>
            <w:r>
              <w:rPr>
                <w:rFonts w:hint="eastAsia"/>
                <w:color w:val="auto"/>
              </w:rPr>
              <w:t>（1）项目名称：</w:t>
            </w:r>
            <w:r>
              <w:rPr>
                <w:rFonts w:hint="eastAsia" w:ascii="宋体" w:hAnsi="宋体"/>
                <w:color w:val="auto"/>
                <w:lang w:eastAsia="zh-CN"/>
              </w:rPr>
              <w:t>长沙赛恩斯环保工程技术有限公司压力容器制造无损检测探伤房建设项目</w:t>
            </w:r>
            <w:r>
              <w:rPr>
                <w:rFonts w:hint="eastAsia" w:ascii="宋体" w:hAnsi="宋体"/>
                <w:color w:val="auto"/>
              </w:rPr>
              <w:t>；</w:t>
            </w:r>
          </w:p>
          <w:p>
            <w:pPr>
              <w:pStyle w:val="47"/>
              <w:rPr>
                <w:color w:val="auto"/>
              </w:rPr>
            </w:pPr>
            <w:r>
              <w:rPr>
                <w:rFonts w:hint="eastAsia"/>
                <w:color w:val="auto"/>
              </w:rPr>
              <w:t>（2）建设单位：</w:t>
            </w:r>
            <w:r>
              <w:rPr>
                <w:rFonts w:hint="eastAsia" w:ascii="宋体" w:hAnsi="宋体"/>
                <w:color w:val="auto"/>
                <w:lang w:eastAsia="zh-CN"/>
              </w:rPr>
              <w:t>长沙赛恩斯环保工程技术有限公司</w:t>
            </w:r>
            <w:r>
              <w:rPr>
                <w:rFonts w:hint="eastAsia" w:ascii="宋体" w:hAnsi="宋体"/>
                <w:color w:val="auto"/>
              </w:rPr>
              <w:t>；</w:t>
            </w:r>
          </w:p>
          <w:p>
            <w:pPr>
              <w:pStyle w:val="47"/>
              <w:rPr>
                <w:color w:val="auto"/>
              </w:rPr>
            </w:pPr>
            <w:r>
              <w:rPr>
                <w:rFonts w:hint="eastAsia"/>
                <w:color w:val="auto"/>
              </w:rPr>
              <w:t>（3）建设性质：新建；</w:t>
            </w:r>
          </w:p>
          <w:p>
            <w:pPr>
              <w:pStyle w:val="47"/>
              <w:rPr>
                <w:color w:val="auto"/>
              </w:rPr>
            </w:pPr>
            <w:r>
              <w:rPr>
                <w:rFonts w:hint="eastAsia"/>
                <w:color w:val="auto"/>
              </w:rPr>
              <w:t>（4）建设地点：</w:t>
            </w:r>
            <w:r>
              <w:rPr>
                <w:rFonts w:hint="eastAsia" w:ascii="宋体" w:hAnsi="宋体"/>
                <w:color w:val="auto"/>
                <w:sz w:val="24"/>
                <w:szCs w:val="24"/>
                <w:lang w:val="en-US" w:eastAsia="zh-CN"/>
              </w:rPr>
              <w:t>宁乡县金洲新区金沙西路048号</w:t>
            </w:r>
            <w:r>
              <w:rPr>
                <w:rFonts w:hint="eastAsia" w:ascii="宋体" w:hAnsi="宋体"/>
                <w:color w:val="auto"/>
                <w:lang w:eastAsia="zh-CN"/>
              </w:rPr>
              <w:t>长沙赛恩斯环保工程技术有限公司</w:t>
            </w:r>
            <w:r>
              <w:rPr>
                <w:rFonts w:hint="eastAsia" w:ascii="宋体" w:hAnsi="宋体"/>
                <w:color w:val="auto"/>
              </w:rPr>
              <w:t>内，项目地理位置图见附图1；</w:t>
            </w:r>
          </w:p>
          <w:p>
            <w:pPr>
              <w:pStyle w:val="47"/>
              <w:rPr>
                <w:color w:val="auto"/>
              </w:rPr>
            </w:pPr>
            <w:r>
              <w:rPr>
                <w:rFonts w:hint="eastAsia"/>
                <w:color w:val="auto"/>
              </w:rPr>
              <w:t>（5）建设内容：建设</w:t>
            </w:r>
            <w:r>
              <w:rPr>
                <w:color w:val="auto"/>
              </w:rPr>
              <w:t>使用</w:t>
            </w:r>
            <w:r>
              <w:rPr>
                <w:rFonts w:hint="eastAsia"/>
                <w:color w:val="auto"/>
              </w:rPr>
              <w:t>1套</w:t>
            </w:r>
            <w:r>
              <w:rPr>
                <w:rFonts w:hint="eastAsia"/>
                <w:color w:val="auto"/>
                <w:lang w:val="en-US" w:eastAsia="zh-CN"/>
              </w:rPr>
              <w:t>ZXFlasee S-450型X射线数字成像(DR)检测系统</w:t>
            </w:r>
            <w:r>
              <w:rPr>
                <w:rFonts w:hint="eastAsia"/>
                <w:color w:val="auto"/>
              </w:rPr>
              <w:t>，用于产品的无损检测，项目基本组成情况见表1-1；</w:t>
            </w:r>
          </w:p>
          <w:p>
            <w:pPr>
              <w:pStyle w:val="49"/>
              <w:rPr>
                <w:color w:val="auto"/>
              </w:rPr>
            </w:pPr>
            <w:r>
              <w:rPr>
                <w:rFonts w:hint="eastAsia"/>
                <w:color w:val="auto"/>
              </w:rPr>
              <w:t>表1-1项目基本组成一览表</w:t>
            </w: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0"/>
              <w:gridCol w:w="806"/>
              <w:gridCol w:w="1706"/>
              <w:gridCol w:w="5098"/>
              <w:gridCol w:w="7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noWrap w:val="0"/>
                  <w:vAlign w:val="center"/>
                </w:tcPr>
                <w:p>
                  <w:pPr>
                    <w:pStyle w:val="53"/>
                    <w:rPr>
                      <w:color w:val="auto"/>
                    </w:rPr>
                  </w:pPr>
                  <w:r>
                    <w:rPr>
                      <w:color w:val="auto"/>
                    </w:rPr>
                    <w:t>序号</w:t>
                  </w:r>
                </w:p>
              </w:tc>
              <w:tc>
                <w:tcPr>
                  <w:tcW w:w="806" w:type="dxa"/>
                  <w:noWrap w:val="0"/>
                  <w:vAlign w:val="center"/>
                </w:tcPr>
                <w:p>
                  <w:pPr>
                    <w:pStyle w:val="53"/>
                    <w:rPr>
                      <w:color w:val="auto"/>
                    </w:rPr>
                  </w:pPr>
                  <w:r>
                    <w:rPr>
                      <w:color w:val="auto"/>
                    </w:rPr>
                    <w:t>类别</w:t>
                  </w:r>
                </w:p>
              </w:tc>
              <w:tc>
                <w:tcPr>
                  <w:tcW w:w="1706" w:type="dxa"/>
                  <w:noWrap w:val="0"/>
                  <w:vAlign w:val="center"/>
                </w:tcPr>
                <w:p>
                  <w:pPr>
                    <w:pStyle w:val="53"/>
                    <w:rPr>
                      <w:color w:val="auto"/>
                    </w:rPr>
                  </w:pPr>
                  <w:r>
                    <w:rPr>
                      <w:color w:val="auto"/>
                    </w:rPr>
                    <w:t>项目名称</w:t>
                  </w:r>
                </w:p>
              </w:tc>
              <w:tc>
                <w:tcPr>
                  <w:tcW w:w="5098" w:type="dxa"/>
                  <w:noWrap w:val="0"/>
                  <w:vAlign w:val="center"/>
                </w:tcPr>
                <w:p>
                  <w:pPr>
                    <w:pStyle w:val="53"/>
                    <w:rPr>
                      <w:color w:val="auto"/>
                    </w:rPr>
                  </w:pPr>
                  <w:r>
                    <w:rPr>
                      <w:color w:val="auto"/>
                    </w:rPr>
                    <w:t>建设内容</w:t>
                  </w:r>
                </w:p>
              </w:tc>
              <w:tc>
                <w:tcPr>
                  <w:tcW w:w="775" w:type="dxa"/>
                  <w:noWrap w:val="0"/>
                  <w:vAlign w:val="center"/>
                </w:tcPr>
                <w:p>
                  <w:pPr>
                    <w:pStyle w:val="53"/>
                    <w:rPr>
                      <w:color w:val="auto"/>
                    </w:rPr>
                  </w:pPr>
                  <w:r>
                    <w:rPr>
                      <w:color w:val="auto"/>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noWrap w:val="0"/>
                  <w:vAlign w:val="center"/>
                </w:tcPr>
                <w:p>
                  <w:pPr>
                    <w:pStyle w:val="53"/>
                    <w:rPr>
                      <w:color w:val="auto"/>
                    </w:rPr>
                  </w:pPr>
                  <w:r>
                    <w:rPr>
                      <w:rFonts w:hint="eastAsia"/>
                      <w:color w:val="auto"/>
                    </w:rPr>
                    <w:t>1</w:t>
                  </w:r>
                </w:p>
              </w:tc>
              <w:tc>
                <w:tcPr>
                  <w:tcW w:w="806" w:type="dxa"/>
                  <w:noWrap w:val="0"/>
                  <w:vAlign w:val="center"/>
                </w:tcPr>
                <w:p>
                  <w:pPr>
                    <w:pStyle w:val="53"/>
                    <w:rPr>
                      <w:color w:val="auto"/>
                      <w:u w:val="none"/>
                    </w:rPr>
                  </w:pPr>
                  <w:r>
                    <w:rPr>
                      <w:color w:val="auto"/>
                      <w:u w:val="none"/>
                    </w:rPr>
                    <w:t>主体工程</w:t>
                  </w:r>
                </w:p>
              </w:tc>
              <w:tc>
                <w:tcPr>
                  <w:tcW w:w="1706" w:type="dxa"/>
                  <w:noWrap w:val="0"/>
                  <w:vAlign w:val="center"/>
                </w:tcPr>
                <w:p>
                  <w:pPr>
                    <w:pStyle w:val="53"/>
                    <w:rPr>
                      <w:color w:val="auto"/>
                      <w:u w:val="none"/>
                    </w:rPr>
                  </w:pPr>
                  <w:r>
                    <w:rPr>
                      <w:rFonts w:hint="eastAsia"/>
                      <w:color w:val="auto"/>
                      <w:u w:val="none"/>
                    </w:rPr>
                    <w:t>探伤室</w:t>
                  </w:r>
                </w:p>
              </w:tc>
              <w:tc>
                <w:tcPr>
                  <w:tcW w:w="5098" w:type="dxa"/>
                  <w:noWrap w:val="0"/>
                  <w:vAlign w:val="center"/>
                </w:tcPr>
                <w:p>
                  <w:pPr>
                    <w:pStyle w:val="53"/>
                    <w:rPr>
                      <w:rFonts w:hint="default" w:eastAsia="宋体"/>
                      <w:color w:val="auto"/>
                      <w:u w:val="none"/>
                      <w:lang w:val="en-US" w:eastAsia="zh-CN"/>
                    </w:rPr>
                  </w:pPr>
                  <w:r>
                    <w:rPr>
                      <w:rFonts w:hint="eastAsia"/>
                      <w:color w:val="auto"/>
                      <w:u w:val="none"/>
                      <w:lang w:val="en-US" w:eastAsia="zh-CN"/>
                    </w:rPr>
                    <w:t>成套设备生产车间内</w:t>
                  </w:r>
                  <w:r>
                    <w:rPr>
                      <w:rFonts w:hint="eastAsia"/>
                      <w:color w:val="auto"/>
                      <w:u w:val="none"/>
                    </w:rPr>
                    <w:t>建设一间探伤室，使用</w:t>
                  </w:r>
                  <w:r>
                    <w:rPr>
                      <w:rFonts w:hint="eastAsia"/>
                      <w:color w:val="auto"/>
                      <w:u w:val="none"/>
                      <w:lang w:val="en-US" w:eastAsia="zh-CN"/>
                    </w:rPr>
                    <w:t>ZXFlasee S-450型X射线数字成像(DR)检测系统</w:t>
                  </w:r>
                  <w:r>
                    <w:rPr>
                      <w:rFonts w:hint="eastAsia"/>
                      <w:color w:val="auto"/>
                      <w:u w:val="none"/>
                    </w:rPr>
                    <w:t>，探伤室占地面积</w:t>
                  </w:r>
                  <w:r>
                    <w:rPr>
                      <w:rFonts w:hint="eastAsia"/>
                      <w:color w:val="auto"/>
                      <w:u w:val="none"/>
                      <w:lang w:val="en-US" w:eastAsia="zh-CN"/>
                    </w:rPr>
                    <w:t>130</w:t>
                  </w:r>
                  <w:r>
                    <w:rPr>
                      <w:rFonts w:hint="eastAsia"/>
                      <w:color w:val="auto"/>
                      <w:u w:val="none"/>
                    </w:rPr>
                    <w:t>m</w:t>
                  </w:r>
                  <w:r>
                    <w:rPr>
                      <w:rFonts w:hint="eastAsia"/>
                      <w:color w:val="auto"/>
                      <w:u w:val="none"/>
                      <w:vertAlign w:val="superscript"/>
                    </w:rPr>
                    <w:t>2</w:t>
                  </w:r>
                  <w:r>
                    <w:rPr>
                      <w:rFonts w:hint="eastAsia"/>
                      <w:color w:val="auto"/>
                      <w:u w:val="none"/>
                      <w:lang w:eastAsia="zh-CN"/>
                    </w:rPr>
                    <w:t>，</w:t>
                  </w:r>
                  <w:r>
                    <w:rPr>
                      <w:rFonts w:hint="eastAsia"/>
                      <w:color w:val="auto"/>
                      <w:u w:val="none"/>
                      <w:lang w:val="en-US" w:eastAsia="zh-CN"/>
                    </w:rPr>
                    <w:t>详细参数见表1-2</w:t>
                  </w:r>
                </w:p>
              </w:tc>
              <w:tc>
                <w:tcPr>
                  <w:tcW w:w="775" w:type="dxa"/>
                  <w:noWrap w:val="0"/>
                  <w:vAlign w:val="center"/>
                </w:tcPr>
                <w:p>
                  <w:pPr>
                    <w:pStyle w:val="53"/>
                    <w:rPr>
                      <w:color w:val="auto"/>
                    </w:rPr>
                  </w:pPr>
                  <w:r>
                    <w:rPr>
                      <w:color w:val="auto"/>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740" w:type="dxa"/>
                  <w:vMerge w:val="restart"/>
                  <w:noWrap w:val="0"/>
                  <w:vAlign w:val="center"/>
                </w:tcPr>
                <w:p>
                  <w:pPr>
                    <w:pStyle w:val="53"/>
                    <w:rPr>
                      <w:color w:val="auto"/>
                    </w:rPr>
                  </w:pPr>
                  <w:r>
                    <w:rPr>
                      <w:rFonts w:hint="eastAsia"/>
                      <w:color w:val="auto"/>
                    </w:rPr>
                    <w:t>2</w:t>
                  </w:r>
                </w:p>
              </w:tc>
              <w:tc>
                <w:tcPr>
                  <w:tcW w:w="806" w:type="dxa"/>
                  <w:vMerge w:val="restart"/>
                  <w:noWrap w:val="0"/>
                  <w:vAlign w:val="center"/>
                </w:tcPr>
                <w:p>
                  <w:pPr>
                    <w:pStyle w:val="53"/>
                    <w:rPr>
                      <w:color w:val="auto"/>
                      <w:u w:val="none"/>
                    </w:rPr>
                  </w:pPr>
                  <w:r>
                    <w:rPr>
                      <w:color w:val="auto"/>
                      <w:u w:val="none"/>
                    </w:rPr>
                    <w:t>辅助工程</w:t>
                  </w:r>
                </w:p>
              </w:tc>
              <w:tc>
                <w:tcPr>
                  <w:tcW w:w="1706" w:type="dxa"/>
                  <w:noWrap w:val="0"/>
                  <w:vAlign w:val="center"/>
                </w:tcPr>
                <w:p>
                  <w:pPr>
                    <w:pStyle w:val="53"/>
                    <w:rPr>
                      <w:color w:val="auto"/>
                      <w:u w:val="none"/>
                    </w:rPr>
                  </w:pPr>
                  <w:r>
                    <w:rPr>
                      <w:rFonts w:hint="eastAsia"/>
                      <w:color w:val="auto"/>
                      <w:u w:val="none"/>
                    </w:rPr>
                    <w:t>控制室</w:t>
                  </w:r>
                </w:p>
              </w:tc>
              <w:tc>
                <w:tcPr>
                  <w:tcW w:w="5098" w:type="dxa"/>
                  <w:noWrap w:val="0"/>
                  <w:vAlign w:val="center"/>
                </w:tcPr>
                <w:p>
                  <w:pPr>
                    <w:pStyle w:val="53"/>
                    <w:rPr>
                      <w:color w:val="auto"/>
                      <w:u w:val="none"/>
                    </w:rPr>
                  </w:pPr>
                  <w:r>
                    <w:rPr>
                      <w:rFonts w:hint="eastAsia"/>
                      <w:color w:val="auto"/>
                      <w:u w:val="none"/>
                    </w:rPr>
                    <w:t>控制室位于探伤室南侧</w:t>
                  </w:r>
                  <w:r>
                    <w:rPr>
                      <w:color w:val="auto"/>
                      <w:u w:val="none"/>
                    </w:rPr>
                    <w:t>，占地面积</w:t>
                  </w:r>
                  <w:r>
                    <w:rPr>
                      <w:rFonts w:hint="eastAsia"/>
                      <w:color w:val="auto"/>
                      <w:u w:val="none"/>
                      <w:lang w:val="en-US" w:eastAsia="zh-CN"/>
                    </w:rPr>
                    <w:t>20</w:t>
                  </w:r>
                  <w:r>
                    <w:rPr>
                      <w:rFonts w:hint="eastAsia"/>
                      <w:color w:val="auto"/>
                      <w:u w:val="none"/>
                    </w:rPr>
                    <w:t>m</w:t>
                  </w:r>
                  <w:r>
                    <w:rPr>
                      <w:rFonts w:hint="eastAsia"/>
                      <w:color w:val="auto"/>
                      <w:u w:val="none"/>
                      <w:vertAlign w:val="superscript"/>
                    </w:rPr>
                    <w:t>2</w:t>
                  </w:r>
                  <w:r>
                    <w:rPr>
                      <w:rFonts w:hint="eastAsia"/>
                      <w:color w:val="auto"/>
                      <w:u w:val="none"/>
                    </w:rPr>
                    <w:t>，主要包括配电柜和控制柜</w:t>
                  </w:r>
                </w:p>
              </w:tc>
              <w:tc>
                <w:tcPr>
                  <w:tcW w:w="775" w:type="dxa"/>
                  <w:noWrap w:val="0"/>
                  <w:vAlign w:val="center"/>
                </w:tcPr>
                <w:p>
                  <w:pPr>
                    <w:pStyle w:val="53"/>
                    <w:rPr>
                      <w:color w:val="auto"/>
                    </w:rPr>
                  </w:pPr>
                  <w:r>
                    <w:rPr>
                      <w:color w:val="auto"/>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740" w:type="dxa"/>
                  <w:vMerge w:val="continue"/>
                  <w:noWrap w:val="0"/>
                  <w:vAlign w:val="center"/>
                </w:tcPr>
                <w:p>
                  <w:pPr>
                    <w:pStyle w:val="53"/>
                    <w:rPr>
                      <w:rFonts w:hint="eastAsia"/>
                      <w:color w:val="auto"/>
                    </w:rPr>
                  </w:pPr>
                </w:p>
              </w:tc>
              <w:tc>
                <w:tcPr>
                  <w:tcW w:w="806" w:type="dxa"/>
                  <w:vMerge w:val="continue"/>
                  <w:noWrap w:val="0"/>
                  <w:vAlign w:val="center"/>
                </w:tcPr>
                <w:p>
                  <w:pPr>
                    <w:pStyle w:val="53"/>
                    <w:rPr>
                      <w:color w:val="auto"/>
                      <w:u w:val="none"/>
                    </w:rPr>
                  </w:pPr>
                </w:p>
              </w:tc>
              <w:tc>
                <w:tcPr>
                  <w:tcW w:w="1706" w:type="dxa"/>
                  <w:noWrap w:val="0"/>
                  <w:vAlign w:val="center"/>
                </w:tcPr>
                <w:p>
                  <w:pPr>
                    <w:pStyle w:val="53"/>
                    <w:rPr>
                      <w:rFonts w:hint="eastAsia" w:eastAsia="宋体"/>
                      <w:color w:val="auto"/>
                      <w:u w:val="none"/>
                      <w:lang w:val="en-US" w:eastAsia="zh-CN"/>
                    </w:rPr>
                  </w:pPr>
                  <w:r>
                    <w:rPr>
                      <w:rFonts w:hint="eastAsia"/>
                      <w:color w:val="auto"/>
                      <w:u w:val="none"/>
                      <w:lang w:val="en-US" w:eastAsia="zh-CN"/>
                    </w:rPr>
                    <w:t>暗室</w:t>
                  </w:r>
                </w:p>
              </w:tc>
              <w:tc>
                <w:tcPr>
                  <w:tcW w:w="5098" w:type="dxa"/>
                  <w:noWrap w:val="0"/>
                  <w:vAlign w:val="center"/>
                </w:tcPr>
                <w:p>
                  <w:pPr>
                    <w:pStyle w:val="53"/>
                    <w:rPr>
                      <w:rFonts w:hint="eastAsia"/>
                      <w:color w:val="auto"/>
                      <w:u w:val="none"/>
                    </w:rPr>
                  </w:pPr>
                  <w:r>
                    <w:rPr>
                      <w:color w:val="auto"/>
                      <w:u w:val="none"/>
                    </w:rPr>
                    <w:t>暗室</w:t>
                  </w:r>
                  <w:r>
                    <w:rPr>
                      <w:rFonts w:hint="eastAsia"/>
                      <w:color w:val="auto"/>
                      <w:u w:val="none"/>
                    </w:rPr>
                    <w:t>位于探伤室南侧</w:t>
                  </w:r>
                  <w:r>
                    <w:rPr>
                      <w:color w:val="auto"/>
                      <w:u w:val="none"/>
                    </w:rPr>
                    <w:t>，占地面积</w:t>
                  </w:r>
                  <w:r>
                    <w:rPr>
                      <w:rFonts w:hint="eastAsia"/>
                      <w:color w:val="auto"/>
                      <w:u w:val="none"/>
                    </w:rPr>
                    <w:t>10m</w:t>
                  </w:r>
                  <w:r>
                    <w:rPr>
                      <w:rFonts w:hint="eastAsia"/>
                      <w:color w:val="auto"/>
                      <w:u w:val="none"/>
                      <w:vertAlign w:val="superscript"/>
                    </w:rPr>
                    <w:t>2</w:t>
                  </w:r>
                  <w:r>
                    <w:rPr>
                      <w:rFonts w:hint="eastAsia"/>
                      <w:color w:val="auto"/>
                      <w:u w:val="none"/>
                      <w:lang w:eastAsia="zh-CN"/>
                    </w:rPr>
                    <w:t>，</w:t>
                  </w:r>
                  <w:r>
                    <w:rPr>
                      <w:color w:val="auto"/>
                      <w:u w:val="none"/>
                    </w:rPr>
                    <w:t>用于胶片冲洗</w:t>
                  </w:r>
                </w:p>
              </w:tc>
              <w:tc>
                <w:tcPr>
                  <w:tcW w:w="775" w:type="dxa"/>
                  <w:noWrap w:val="0"/>
                  <w:vAlign w:val="center"/>
                </w:tcPr>
                <w:p>
                  <w:pPr>
                    <w:pStyle w:val="53"/>
                    <w:rPr>
                      <w:color w:val="auto"/>
                    </w:rPr>
                  </w:pPr>
                  <w:r>
                    <w:rPr>
                      <w:color w:val="auto"/>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Merge w:val="restart"/>
                  <w:noWrap w:val="0"/>
                  <w:vAlign w:val="center"/>
                </w:tcPr>
                <w:p>
                  <w:pPr>
                    <w:pStyle w:val="53"/>
                    <w:rPr>
                      <w:color w:val="auto"/>
                    </w:rPr>
                  </w:pPr>
                  <w:r>
                    <w:rPr>
                      <w:rFonts w:hint="eastAsia"/>
                      <w:color w:val="auto"/>
                    </w:rPr>
                    <w:t>3</w:t>
                  </w:r>
                </w:p>
              </w:tc>
              <w:tc>
                <w:tcPr>
                  <w:tcW w:w="806" w:type="dxa"/>
                  <w:vMerge w:val="restart"/>
                  <w:noWrap w:val="0"/>
                  <w:vAlign w:val="center"/>
                </w:tcPr>
                <w:p>
                  <w:pPr>
                    <w:pStyle w:val="53"/>
                    <w:rPr>
                      <w:color w:val="auto"/>
                      <w:u w:val="none"/>
                    </w:rPr>
                  </w:pPr>
                  <w:r>
                    <w:rPr>
                      <w:color w:val="auto"/>
                      <w:u w:val="none"/>
                    </w:rPr>
                    <w:t>公用工程</w:t>
                  </w:r>
                </w:p>
              </w:tc>
              <w:tc>
                <w:tcPr>
                  <w:tcW w:w="1706" w:type="dxa"/>
                  <w:noWrap w:val="0"/>
                  <w:vAlign w:val="center"/>
                </w:tcPr>
                <w:p>
                  <w:pPr>
                    <w:pStyle w:val="53"/>
                    <w:rPr>
                      <w:color w:val="auto"/>
                      <w:u w:val="none"/>
                    </w:rPr>
                  </w:pPr>
                  <w:r>
                    <w:rPr>
                      <w:color w:val="auto"/>
                      <w:u w:val="none"/>
                    </w:rPr>
                    <w:t>供配电系统</w:t>
                  </w:r>
                </w:p>
              </w:tc>
              <w:tc>
                <w:tcPr>
                  <w:tcW w:w="5098" w:type="dxa"/>
                  <w:noWrap w:val="0"/>
                  <w:vAlign w:val="center"/>
                </w:tcPr>
                <w:p>
                  <w:pPr>
                    <w:pStyle w:val="53"/>
                    <w:rPr>
                      <w:color w:val="auto"/>
                      <w:u w:val="none"/>
                    </w:rPr>
                  </w:pPr>
                  <w:r>
                    <w:rPr>
                      <w:color w:val="auto"/>
                      <w:u w:val="none"/>
                    </w:rPr>
                    <w:t>依托</w:t>
                  </w:r>
                  <w:r>
                    <w:rPr>
                      <w:rFonts w:hint="eastAsia"/>
                      <w:color w:val="auto"/>
                      <w:u w:val="none"/>
                      <w:lang w:val="en-US" w:eastAsia="zh-CN"/>
                    </w:rPr>
                    <w:t>公司的</w:t>
                  </w:r>
                  <w:r>
                    <w:rPr>
                      <w:color w:val="auto"/>
                      <w:u w:val="none"/>
                    </w:rPr>
                    <w:t>供配电系统，</w:t>
                  </w:r>
                  <w:r>
                    <w:rPr>
                      <w:rFonts w:hint="eastAsia"/>
                      <w:color w:val="auto"/>
                      <w:u w:val="none"/>
                      <w:lang w:val="en-US" w:eastAsia="zh-CN"/>
                    </w:rPr>
                    <w:t>用</w:t>
                  </w:r>
                  <w:r>
                    <w:rPr>
                      <w:color w:val="auto"/>
                      <w:u w:val="none"/>
                    </w:rPr>
                    <w:t>电来源于市政供电</w:t>
                  </w:r>
                </w:p>
              </w:tc>
              <w:tc>
                <w:tcPr>
                  <w:tcW w:w="775" w:type="dxa"/>
                  <w:noWrap w:val="0"/>
                  <w:vAlign w:val="center"/>
                </w:tcPr>
                <w:p>
                  <w:pPr>
                    <w:pStyle w:val="53"/>
                    <w:rPr>
                      <w:color w:val="auto"/>
                    </w:rPr>
                  </w:pPr>
                  <w:r>
                    <w:rPr>
                      <w:color w:val="auto"/>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Merge w:val="continue"/>
                  <w:noWrap w:val="0"/>
                  <w:vAlign w:val="center"/>
                </w:tcPr>
                <w:p>
                  <w:pPr>
                    <w:pStyle w:val="53"/>
                    <w:rPr>
                      <w:color w:val="auto"/>
                    </w:rPr>
                  </w:pPr>
                </w:p>
              </w:tc>
              <w:tc>
                <w:tcPr>
                  <w:tcW w:w="806" w:type="dxa"/>
                  <w:vMerge w:val="continue"/>
                  <w:noWrap w:val="0"/>
                  <w:vAlign w:val="center"/>
                </w:tcPr>
                <w:p>
                  <w:pPr>
                    <w:pStyle w:val="53"/>
                    <w:rPr>
                      <w:color w:val="auto"/>
                      <w:u w:val="none"/>
                    </w:rPr>
                  </w:pPr>
                </w:p>
              </w:tc>
              <w:tc>
                <w:tcPr>
                  <w:tcW w:w="1706" w:type="dxa"/>
                  <w:noWrap w:val="0"/>
                  <w:vAlign w:val="center"/>
                </w:tcPr>
                <w:p>
                  <w:pPr>
                    <w:pStyle w:val="53"/>
                    <w:rPr>
                      <w:color w:val="auto"/>
                      <w:u w:val="none"/>
                    </w:rPr>
                  </w:pPr>
                  <w:r>
                    <w:rPr>
                      <w:color w:val="auto"/>
                      <w:u w:val="none"/>
                    </w:rPr>
                    <w:t>给水系统</w:t>
                  </w:r>
                </w:p>
              </w:tc>
              <w:tc>
                <w:tcPr>
                  <w:tcW w:w="5098" w:type="dxa"/>
                  <w:noWrap w:val="0"/>
                  <w:vAlign w:val="center"/>
                </w:tcPr>
                <w:p>
                  <w:pPr>
                    <w:pStyle w:val="53"/>
                    <w:rPr>
                      <w:color w:val="auto"/>
                      <w:u w:val="none"/>
                    </w:rPr>
                  </w:pPr>
                  <w:r>
                    <w:rPr>
                      <w:color w:val="auto"/>
                      <w:u w:val="none"/>
                    </w:rPr>
                    <w:t>依托</w:t>
                  </w:r>
                  <w:r>
                    <w:rPr>
                      <w:rFonts w:hint="eastAsia"/>
                      <w:color w:val="auto"/>
                      <w:u w:val="none"/>
                      <w:lang w:val="en-US" w:eastAsia="zh-CN"/>
                    </w:rPr>
                    <w:t>公司</w:t>
                  </w:r>
                  <w:r>
                    <w:rPr>
                      <w:color w:val="auto"/>
                      <w:u w:val="none"/>
                    </w:rPr>
                    <w:t>给水管网供辐射工作人员生活用水</w:t>
                  </w:r>
                </w:p>
              </w:tc>
              <w:tc>
                <w:tcPr>
                  <w:tcW w:w="775" w:type="dxa"/>
                  <w:noWrap w:val="0"/>
                  <w:vAlign w:val="center"/>
                </w:tcPr>
                <w:p>
                  <w:pPr>
                    <w:pStyle w:val="53"/>
                    <w:rPr>
                      <w:color w:val="auto"/>
                    </w:rPr>
                  </w:pPr>
                  <w:r>
                    <w:rPr>
                      <w:color w:val="auto"/>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Merge w:val="continue"/>
                  <w:tcBorders>
                    <w:bottom w:val="single" w:color="auto" w:sz="4" w:space="0"/>
                  </w:tcBorders>
                  <w:noWrap w:val="0"/>
                  <w:vAlign w:val="center"/>
                </w:tcPr>
                <w:p>
                  <w:pPr>
                    <w:pStyle w:val="53"/>
                    <w:rPr>
                      <w:color w:val="auto"/>
                    </w:rPr>
                  </w:pPr>
                </w:p>
              </w:tc>
              <w:tc>
                <w:tcPr>
                  <w:tcW w:w="806" w:type="dxa"/>
                  <w:vMerge w:val="continue"/>
                  <w:noWrap w:val="0"/>
                  <w:vAlign w:val="center"/>
                </w:tcPr>
                <w:p>
                  <w:pPr>
                    <w:pStyle w:val="53"/>
                    <w:rPr>
                      <w:color w:val="auto"/>
                      <w:u w:val="none"/>
                    </w:rPr>
                  </w:pPr>
                </w:p>
              </w:tc>
              <w:tc>
                <w:tcPr>
                  <w:tcW w:w="1706" w:type="dxa"/>
                  <w:noWrap w:val="0"/>
                  <w:vAlign w:val="center"/>
                </w:tcPr>
                <w:p>
                  <w:pPr>
                    <w:pStyle w:val="53"/>
                    <w:rPr>
                      <w:color w:val="auto"/>
                      <w:u w:val="none"/>
                    </w:rPr>
                  </w:pPr>
                  <w:r>
                    <w:rPr>
                      <w:color w:val="auto"/>
                      <w:u w:val="none"/>
                    </w:rPr>
                    <w:t>排水系统</w:t>
                  </w:r>
                </w:p>
              </w:tc>
              <w:tc>
                <w:tcPr>
                  <w:tcW w:w="5098" w:type="dxa"/>
                  <w:noWrap w:val="0"/>
                  <w:vAlign w:val="center"/>
                </w:tcPr>
                <w:p>
                  <w:pPr>
                    <w:pStyle w:val="53"/>
                    <w:rPr>
                      <w:color w:val="auto"/>
                      <w:u w:val="none"/>
                    </w:rPr>
                  </w:pPr>
                  <w:r>
                    <w:rPr>
                      <w:color w:val="auto"/>
                      <w:u w:val="none"/>
                    </w:rPr>
                    <w:t>辐射工作人员生活污水依托厂区污水处理装置，处理达标后排入市政污水管网</w:t>
                  </w:r>
                </w:p>
              </w:tc>
              <w:tc>
                <w:tcPr>
                  <w:tcW w:w="775" w:type="dxa"/>
                  <w:noWrap w:val="0"/>
                  <w:vAlign w:val="center"/>
                </w:tcPr>
                <w:p>
                  <w:pPr>
                    <w:pStyle w:val="53"/>
                    <w:rPr>
                      <w:color w:val="auto"/>
                    </w:rPr>
                  </w:pPr>
                  <w:r>
                    <w:rPr>
                      <w:color w:val="auto"/>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Merge w:val="restart"/>
                  <w:tcBorders>
                    <w:top w:val="single" w:color="auto" w:sz="4" w:space="0"/>
                    <w:left w:val="single" w:color="auto" w:sz="4" w:space="0"/>
                    <w:right w:val="single" w:color="auto" w:sz="4" w:space="0"/>
                  </w:tcBorders>
                  <w:noWrap w:val="0"/>
                  <w:vAlign w:val="center"/>
                </w:tcPr>
                <w:p>
                  <w:pPr>
                    <w:pStyle w:val="53"/>
                    <w:rPr>
                      <w:color w:val="auto"/>
                    </w:rPr>
                  </w:pPr>
                  <w:r>
                    <w:rPr>
                      <w:rFonts w:hint="eastAsia"/>
                      <w:color w:val="auto"/>
                    </w:rPr>
                    <w:t>4</w:t>
                  </w:r>
                </w:p>
              </w:tc>
              <w:tc>
                <w:tcPr>
                  <w:tcW w:w="806" w:type="dxa"/>
                  <w:vMerge w:val="restart"/>
                  <w:tcBorders>
                    <w:left w:val="single" w:color="auto" w:sz="4" w:space="0"/>
                  </w:tcBorders>
                  <w:noWrap w:val="0"/>
                  <w:vAlign w:val="center"/>
                </w:tcPr>
                <w:p>
                  <w:pPr>
                    <w:pStyle w:val="53"/>
                    <w:rPr>
                      <w:color w:val="auto"/>
                      <w:u w:val="none"/>
                    </w:rPr>
                  </w:pPr>
                  <w:r>
                    <w:rPr>
                      <w:color w:val="auto"/>
                      <w:u w:val="none"/>
                    </w:rPr>
                    <w:t>环保工程</w:t>
                  </w:r>
                </w:p>
              </w:tc>
              <w:tc>
                <w:tcPr>
                  <w:tcW w:w="1706" w:type="dxa"/>
                  <w:noWrap w:val="0"/>
                  <w:vAlign w:val="center"/>
                </w:tcPr>
                <w:p>
                  <w:pPr>
                    <w:pStyle w:val="53"/>
                    <w:rPr>
                      <w:color w:val="auto"/>
                      <w:u w:val="none"/>
                    </w:rPr>
                  </w:pPr>
                  <w:r>
                    <w:rPr>
                      <w:color w:val="auto"/>
                      <w:u w:val="none"/>
                    </w:rPr>
                    <w:t>污水处理设施</w:t>
                  </w:r>
                </w:p>
              </w:tc>
              <w:tc>
                <w:tcPr>
                  <w:tcW w:w="5098" w:type="dxa"/>
                  <w:noWrap w:val="0"/>
                  <w:vAlign w:val="center"/>
                </w:tcPr>
                <w:p>
                  <w:pPr>
                    <w:pStyle w:val="53"/>
                    <w:rPr>
                      <w:color w:val="auto"/>
                      <w:u w:val="none"/>
                    </w:rPr>
                  </w:pPr>
                  <w:r>
                    <w:rPr>
                      <w:rFonts w:hint="eastAsia"/>
                      <w:color w:val="auto"/>
                      <w:u w:val="none"/>
                    </w:rPr>
                    <w:t>生活污水</w:t>
                  </w:r>
                  <w:r>
                    <w:rPr>
                      <w:color w:val="auto"/>
                      <w:u w:val="none"/>
                    </w:rPr>
                    <w:t>依托厂区现有污水处理装置</w:t>
                  </w:r>
                </w:p>
              </w:tc>
              <w:tc>
                <w:tcPr>
                  <w:tcW w:w="775" w:type="dxa"/>
                  <w:noWrap w:val="0"/>
                  <w:vAlign w:val="center"/>
                </w:tcPr>
                <w:p>
                  <w:pPr>
                    <w:pStyle w:val="53"/>
                    <w:rPr>
                      <w:color w:val="auto"/>
                    </w:rPr>
                  </w:pPr>
                  <w:r>
                    <w:rPr>
                      <w:color w:val="auto"/>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Merge w:val="continue"/>
                  <w:tcBorders>
                    <w:left w:val="single" w:color="auto" w:sz="4" w:space="0"/>
                    <w:right w:val="single" w:color="auto" w:sz="4" w:space="0"/>
                  </w:tcBorders>
                  <w:noWrap w:val="0"/>
                  <w:vAlign w:val="center"/>
                </w:tcPr>
                <w:p>
                  <w:pPr>
                    <w:pStyle w:val="53"/>
                    <w:rPr>
                      <w:color w:val="auto"/>
                    </w:rPr>
                  </w:pPr>
                </w:p>
              </w:tc>
              <w:tc>
                <w:tcPr>
                  <w:tcW w:w="806" w:type="dxa"/>
                  <w:vMerge w:val="continue"/>
                  <w:tcBorders>
                    <w:left w:val="single" w:color="auto" w:sz="4" w:space="0"/>
                  </w:tcBorders>
                  <w:noWrap w:val="0"/>
                  <w:vAlign w:val="center"/>
                </w:tcPr>
                <w:p>
                  <w:pPr>
                    <w:pStyle w:val="53"/>
                    <w:rPr>
                      <w:color w:val="auto"/>
                      <w:u w:val="none"/>
                    </w:rPr>
                  </w:pPr>
                </w:p>
              </w:tc>
              <w:tc>
                <w:tcPr>
                  <w:tcW w:w="1706" w:type="dxa"/>
                  <w:noWrap w:val="0"/>
                  <w:vAlign w:val="center"/>
                </w:tcPr>
                <w:p>
                  <w:pPr>
                    <w:pStyle w:val="53"/>
                    <w:rPr>
                      <w:color w:val="auto"/>
                      <w:u w:val="none"/>
                    </w:rPr>
                  </w:pPr>
                  <w:r>
                    <w:rPr>
                      <w:color w:val="auto"/>
                      <w:u w:val="none"/>
                    </w:rPr>
                    <w:t>废气</w:t>
                  </w:r>
                </w:p>
              </w:tc>
              <w:tc>
                <w:tcPr>
                  <w:tcW w:w="5098" w:type="dxa"/>
                  <w:noWrap w:val="0"/>
                  <w:vAlign w:val="center"/>
                </w:tcPr>
                <w:p>
                  <w:pPr>
                    <w:pStyle w:val="53"/>
                    <w:rPr>
                      <w:rFonts w:hint="default" w:eastAsia="宋体"/>
                      <w:color w:val="auto"/>
                      <w:u w:val="none"/>
                      <w:lang w:val="en-US" w:eastAsia="zh-CN"/>
                    </w:rPr>
                  </w:pPr>
                  <w:r>
                    <w:rPr>
                      <w:rFonts w:hint="eastAsia"/>
                      <w:color w:val="auto"/>
                      <w:u w:val="none"/>
                      <w:lang w:val="en-US" w:eastAsia="zh-CN"/>
                    </w:rPr>
                    <w:t>配套建设</w:t>
                  </w:r>
                  <w:r>
                    <w:rPr>
                      <w:color w:val="auto"/>
                      <w:u w:val="none"/>
                    </w:rPr>
                    <w:t>机械通风系统</w:t>
                  </w:r>
                  <w:r>
                    <w:rPr>
                      <w:rFonts w:hint="eastAsia"/>
                      <w:color w:val="auto"/>
                      <w:u w:val="none"/>
                      <w:lang w:eastAsia="zh-CN"/>
                    </w:rPr>
                    <w:t>，</w:t>
                  </w:r>
                  <w:r>
                    <w:rPr>
                      <w:rFonts w:hint="eastAsia"/>
                      <w:color w:val="auto"/>
                      <w:u w:val="none"/>
                      <w:lang w:val="en-US" w:eastAsia="zh-CN"/>
                    </w:rPr>
                    <w:t>风量5000m</w:t>
                  </w:r>
                  <w:r>
                    <w:rPr>
                      <w:rFonts w:hint="eastAsia"/>
                      <w:color w:val="auto"/>
                      <w:u w:val="none"/>
                      <w:vertAlign w:val="superscript"/>
                      <w:lang w:val="en-US" w:eastAsia="zh-CN"/>
                    </w:rPr>
                    <w:t>3/</w:t>
                  </w:r>
                  <w:r>
                    <w:rPr>
                      <w:rFonts w:hint="eastAsia"/>
                      <w:color w:val="auto"/>
                      <w:u w:val="none"/>
                      <w:lang w:val="en-US" w:eastAsia="zh-CN"/>
                    </w:rPr>
                    <w:t>h</w:t>
                  </w:r>
                </w:p>
              </w:tc>
              <w:tc>
                <w:tcPr>
                  <w:tcW w:w="775" w:type="dxa"/>
                  <w:noWrap w:val="0"/>
                  <w:vAlign w:val="center"/>
                </w:tcPr>
                <w:p>
                  <w:pPr>
                    <w:pStyle w:val="53"/>
                    <w:rPr>
                      <w:color w:val="auto"/>
                    </w:rPr>
                  </w:pPr>
                  <w:r>
                    <w:rPr>
                      <w:color w:val="auto"/>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Merge w:val="continue"/>
                  <w:tcBorders>
                    <w:left w:val="single" w:color="auto" w:sz="4" w:space="0"/>
                    <w:bottom w:val="single" w:color="auto" w:sz="4" w:space="0"/>
                    <w:right w:val="single" w:color="auto" w:sz="4" w:space="0"/>
                  </w:tcBorders>
                  <w:noWrap w:val="0"/>
                  <w:vAlign w:val="center"/>
                </w:tcPr>
                <w:p>
                  <w:pPr>
                    <w:pStyle w:val="53"/>
                    <w:rPr>
                      <w:color w:val="auto"/>
                    </w:rPr>
                  </w:pPr>
                </w:p>
              </w:tc>
              <w:tc>
                <w:tcPr>
                  <w:tcW w:w="806" w:type="dxa"/>
                  <w:vMerge w:val="continue"/>
                  <w:tcBorders>
                    <w:left w:val="single" w:color="auto" w:sz="4" w:space="0"/>
                  </w:tcBorders>
                  <w:noWrap w:val="0"/>
                  <w:vAlign w:val="center"/>
                </w:tcPr>
                <w:p>
                  <w:pPr>
                    <w:pStyle w:val="53"/>
                    <w:rPr>
                      <w:color w:val="auto"/>
                      <w:u w:val="none"/>
                    </w:rPr>
                  </w:pPr>
                </w:p>
              </w:tc>
              <w:tc>
                <w:tcPr>
                  <w:tcW w:w="1706" w:type="dxa"/>
                  <w:noWrap w:val="0"/>
                  <w:vAlign w:val="center"/>
                </w:tcPr>
                <w:p>
                  <w:pPr>
                    <w:pStyle w:val="53"/>
                    <w:rPr>
                      <w:rFonts w:hint="eastAsia" w:eastAsia="宋体"/>
                      <w:color w:val="auto"/>
                      <w:u w:val="none"/>
                      <w:lang w:val="en-US" w:eastAsia="zh-CN"/>
                    </w:rPr>
                  </w:pPr>
                  <w:r>
                    <w:rPr>
                      <w:rFonts w:hint="eastAsia"/>
                      <w:color w:val="auto"/>
                      <w:u w:val="none"/>
                      <w:lang w:val="en-US" w:eastAsia="zh-CN"/>
                    </w:rPr>
                    <w:t>固体废物</w:t>
                  </w:r>
                </w:p>
              </w:tc>
              <w:tc>
                <w:tcPr>
                  <w:tcW w:w="5098" w:type="dxa"/>
                  <w:noWrap w:val="0"/>
                  <w:vAlign w:val="center"/>
                </w:tcPr>
                <w:p>
                  <w:pPr>
                    <w:pStyle w:val="53"/>
                    <w:rPr>
                      <w:rFonts w:hint="eastAsia"/>
                      <w:color w:val="auto"/>
                      <w:u w:val="none"/>
                      <w:lang w:val="en-US" w:eastAsia="zh-CN"/>
                    </w:rPr>
                  </w:pPr>
                  <w:r>
                    <w:rPr>
                      <w:rFonts w:hint="eastAsia"/>
                      <w:color w:val="auto"/>
                      <w:u w:val="none"/>
                      <w:lang w:val="en-US" w:eastAsia="zh-CN"/>
                    </w:rPr>
                    <w:t>废片存放于收纳箱放置于控制室内的危废暂存区、洗片废液储存于具有醒目标志的废液桶中放置于危废暂存区，定期交有资质的单位处理</w:t>
                  </w:r>
                </w:p>
              </w:tc>
              <w:tc>
                <w:tcPr>
                  <w:tcW w:w="775" w:type="dxa"/>
                  <w:noWrap w:val="0"/>
                  <w:vAlign w:val="center"/>
                </w:tcPr>
                <w:p>
                  <w:pPr>
                    <w:pStyle w:val="53"/>
                    <w:rPr>
                      <w:color w:val="auto"/>
                    </w:rPr>
                  </w:pPr>
                  <w:r>
                    <w:rPr>
                      <w:color w:val="auto"/>
                    </w:rPr>
                    <w:t>新建</w:t>
                  </w:r>
                </w:p>
              </w:tc>
            </w:tr>
          </w:tbl>
          <w:p>
            <w:pPr>
              <w:pStyle w:val="45"/>
              <w:spacing w:before="156" w:after="156"/>
              <w:rPr>
                <w:color w:val="auto"/>
              </w:rPr>
            </w:pPr>
            <w:r>
              <w:rPr>
                <w:rFonts w:hint="eastAsia"/>
                <w:color w:val="auto"/>
              </w:rPr>
              <w:t>1.4核技术利用项目基本情况</w:t>
            </w:r>
          </w:p>
          <w:p>
            <w:pPr>
              <w:pStyle w:val="42"/>
              <w:rPr>
                <w:color w:val="auto"/>
              </w:rPr>
            </w:pPr>
            <w:r>
              <w:rPr>
                <w:rFonts w:hint="eastAsia"/>
                <w:color w:val="auto"/>
              </w:rPr>
              <w:t>（1）探伤室情况</w:t>
            </w:r>
          </w:p>
          <w:p>
            <w:pPr>
              <w:pStyle w:val="47"/>
              <w:rPr>
                <w:color w:val="auto"/>
              </w:rPr>
            </w:pPr>
            <w:r>
              <w:rPr>
                <w:rFonts w:hint="eastAsia"/>
                <w:color w:val="auto"/>
              </w:rPr>
              <w:t>探伤室建设内容见表1-2</w:t>
            </w:r>
          </w:p>
          <w:p>
            <w:pPr>
              <w:pStyle w:val="49"/>
              <w:rPr>
                <w:color w:val="auto"/>
              </w:rPr>
            </w:pPr>
            <w:r>
              <w:rPr>
                <w:rFonts w:hint="eastAsia"/>
                <w:color w:val="auto"/>
              </w:rPr>
              <w:t>表1-2探伤室建设内容</w:t>
            </w:r>
            <w:r>
              <w:rPr>
                <w:color w:val="auto"/>
              </w:rPr>
              <w:t>一览表</w:t>
            </w: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76"/>
              <w:gridCol w:w="65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76" w:type="dxa"/>
                  <w:noWrap w:val="0"/>
                  <w:vAlign w:val="center"/>
                </w:tcPr>
                <w:p>
                  <w:pPr>
                    <w:pStyle w:val="53"/>
                    <w:rPr>
                      <w:b/>
                      <w:color w:val="auto"/>
                      <w:u w:val="none"/>
                    </w:rPr>
                  </w:pPr>
                  <w:r>
                    <w:rPr>
                      <w:b/>
                      <w:color w:val="auto"/>
                      <w:u w:val="none"/>
                    </w:rPr>
                    <w:t>项目</w:t>
                  </w:r>
                </w:p>
              </w:tc>
              <w:tc>
                <w:tcPr>
                  <w:tcW w:w="6554" w:type="dxa"/>
                  <w:noWrap w:val="0"/>
                  <w:vAlign w:val="center"/>
                </w:tcPr>
                <w:p>
                  <w:pPr>
                    <w:pStyle w:val="53"/>
                    <w:rPr>
                      <w:b/>
                      <w:color w:val="auto"/>
                      <w:u w:val="none"/>
                    </w:rPr>
                  </w:pPr>
                  <w:r>
                    <w:rPr>
                      <w:b/>
                      <w:color w:val="auto"/>
                      <w:u w:val="none"/>
                    </w:rPr>
                    <w:t>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76" w:type="dxa"/>
                  <w:noWrap w:val="0"/>
                  <w:vAlign w:val="center"/>
                </w:tcPr>
                <w:p>
                  <w:pPr>
                    <w:pStyle w:val="53"/>
                    <w:rPr>
                      <w:rFonts w:hint="eastAsia"/>
                      <w:b/>
                      <w:color w:val="auto"/>
                      <w:u w:val="none"/>
                    </w:rPr>
                  </w:pPr>
                  <w:r>
                    <w:rPr>
                      <w:rFonts w:hint="eastAsia"/>
                      <w:b/>
                      <w:color w:val="auto"/>
                      <w:u w:val="none"/>
                    </w:rPr>
                    <w:t>探伤室尺寸（</w:t>
                  </w:r>
                  <w:r>
                    <w:rPr>
                      <w:b/>
                      <w:color w:val="auto"/>
                      <w:u w:val="none"/>
                    </w:rPr>
                    <w:t>长×宽×高</w:t>
                  </w:r>
                  <w:r>
                    <w:rPr>
                      <w:rFonts w:hint="eastAsia"/>
                      <w:b/>
                      <w:color w:val="auto"/>
                      <w:u w:val="none"/>
                    </w:rPr>
                    <w:t>）</w:t>
                  </w:r>
                </w:p>
              </w:tc>
              <w:tc>
                <w:tcPr>
                  <w:tcW w:w="6554" w:type="dxa"/>
                  <w:noWrap w:val="0"/>
                  <w:vAlign w:val="center"/>
                </w:tcPr>
                <w:p>
                  <w:pPr>
                    <w:widowControl/>
                    <w:ind w:firstLine="420" w:firstLineChars="200"/>
                    <w:rPr>
                      <w:rFonts w:ascii="Times New Roman" w:hAnsi="Times New Roman"/>
                      <w:color w:val="auto"/>
                      <w:u w:val="none"/>
                    </w:rPr>
                  </w:pPr>
                  <w:r>
                    <w:rPr>
                      <w:rFonts w:ascii="Times New Roman" w:hAnsi="Times New Roman"/>
                      <w:color w:val="auto"/>
                      <w:u w:val="none"/>
                    </w:rPr>
                    <w:t>内空尺寸：</w:t>
                  </w:r>
                  <w:r>
                    <w:rPr>
                      <w:rFonts w:hint="eastAsia" w:ascii="Times New Roman" w:hAnsi="Times New Roman"/>
                      <w:color w:val="auto"/>
                      <w:u w:val="none"/>
                      <w:lang w:val="en-US" w:eastAsia="zh-CN"/>
                    </w:rPr>
                    <w:t>15000</w:t>
                  </w:r>
                  <w:r>
                    <w:rPr>
                      <w:rFonts w:ascii="Times New Roman" w:hAnsi="Times New Roman"/>
                      <w:color w:val="auto"/>
                      <w:u w:val="none"/>
                    </w:rPr>
                    <w:t>mm×</w:t>
                  </w:r>
                  <w:r>
                    <w:rPr>
                      <w:rFonts w:hint="eastAsia" w:ascii="Times New Roman" w:hAnsi="Times New Roman"/>
                      <w:color w:val="auto"/>
                      <w:u w:val="none"/>
                      <w:lang w:val="en-US" w:eastAsia="zh-CN"/>
                    </w:rPr>
                    <w:t>85</w:t>
                  </w:r>
                  <w:r>
                    <w:rPr>
                      <w:rFonts w:ascii="Times New Roman" w:hAnsi="Times New Roman"/>
                      <w:color w:val="auto"/>
                      <w:u w:val="none"/>
                    </w:rPr>
                    <w:t>00mm×</w:t>
                  </w:r>
                  <w:r>
                    <w:rPr>
                      <w:rFonts w:hint="eastAsia" w:ascii="Times New Roman" w:hAnsi="Times New Roman"/>
                      <w:color w:val="auto"/>
                      <w:u w:val="none"/>
                      <w:lang w:val="en-US" w:eastAsia="zh-CN"/>
                    </w:rPr>
                    <w:t>56</w:t>
                  </w:r>
                  <w:r>
                    <w:rPr>
                      <w:rFonts w:hint="eastAsia" w:ascii="Times New Roman" w:hAnsi="Times New Roman"/>
                      <w:color w:val="auto"/>
                      <w:u w:val="none"/>
                    </w:rPr>
                    <w:t>00</w:t>
                  </w:r>
                  <w:r>
                    <w:rPr>
                      <w:rFonts w:ascii="Times New Roman" w:hAnsi="Times New Roman"/>
                      <w:color w:val="auto"/>
                      <w:u w:val="none"/>
                    </w:rPr>
                    <w:t>mm</w:t>
                  </w:r>
                </w:p>
                <w:p>
                  <w:pPr>
                    <w:pStyle w:val="2"/>
                    <w:ind w:left="0" w:leftChars="0"/>
                    <w:rPr>
                      <w:rFonts w:ascii="Times New Roman" w:hAnsi="Times New Roman"/>
                      <w:color w:val="auto"/>
                      <w:u w:val="none"/>
                    </w:rPr>
                  </w:pPr>
                  <w:r>
                    <w:rPr>
                      <w:rFonts w:ascii="Times New Roman" w:hAnsi="Times New Roman"/>
                      <w:color w:val="auto"/>
                      <w:sz w:val="21"/>
                      <w:szCs w:val="21"/>
                      <w:u w:val="none"/>
                    </w:rPr>
                    <w:t>外部尺寸：</w:t>
                  </w:r>
                  <w:r>
                    <w:rPr>
                      <w:rFonts w:hint="eastAsia" w:ascii="Times New Roman" w:hAnsi="Times New Roman"/>
                      <w:color w:val="auto"/>
                      <w:sz w:val="21"/>
                      <w:szCs w:val="21"/>
                      <w:u w:val="none"/>
                      <w:lang w:val="en-US" w:eastAsia="zh-CN"/>
                    </w:rPr>
                    <w:t>13600</w:t>
                  </w:r>
                  <w:r>
                    <w:rPr>
                      <w:rFonts w:ascii="Times New Roman" w:hAnsi="Times New Roman"/>
                      <w:color w:val="auto"/>
                      <w:sz w:val="21"/>
                      <w:szCs w:val="21"/>
                      <w:u w:val="none"/>
                    </w:rPr>
                    <w:t>mm×</w:t>
                  </w:r>
                  <w:r>
                    <w:rPr>
                      <w:rFonts w:hint="eastAsia" w:ascii="Times New Roman" w:hAnsi="Times New Roman"/>
                      <w:color w:val="auto"/>
                      <w:sz w:val="21"/>
                      <w:szCs w:val="21"/>
                      <w:u w:val="none"/>
                      <w:lang w:val="en-US" w:eastAsia="zh-CN"/>
                    </w:rPr>
                    <w:t>6900</w:t>
                  </w:r>
                  <w:r>
                    <w:rPr>
                      <w:rFonts w:ascii="Times New Roman" w:hAnsi="Times New Roman"/>
                      <w:color w:val="auto"/>
                      <w:sz w:val="21"/>
                      <w:szCs w:val="21"/>
                      <w:u w:val="none"/>
                    </w:rPr>
                    <w:t>mm×</w:t>
                  </w:r>
                  <w:r>
                    <w:rPr>
                      <w:rFonts w:hint="eastAsia" w:ascii="Times New Roman" w:hAnsi="Times New Roman"/>
                      <w:color w:val="auto"/>
                      <w:sz w:val="21"/>
                      <w:szCs w:val="21"/>
                      <w:u w:val="none"/>
                      <w:lang w:val="en-US" w:eastAsia="zh-CN"/>
                    </w:rPr>
                    <w:t>5000</w:t>
                  </w:r>
                  <w:r>
                    <w:rPr>
                      <w:rFonts w:ascii="Times New Roman" w:hAnsi="Times New Roman"/>
                      <w:color w:val="auto"/>
                      <w:sz w:val="21"/>
                      <w:szCs w:val="21"/>
                      <w:u w:val="none"/>
                    </w:rPr>
                    <w:t>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76" w:type="dxa"/>
                  <w:noWrap w:val="0"/>
                  <w:vAlign w:val="center"/>
                </w:tcPr>
                <w:p>
                  <w:pPr>
                    <w:pStyle w:val="53"/>
                    <w:rPr>
                      <w:b/>
                      <w:color w:val="auto"/>
                      <w:u w:val="none"/>
                    </w:rPr>
                  </w:pPr>
                  <w:r>
                    <w:rPr>
                      <w:rFonts w:hint="eastAsia"/>
                      <w:b/>
                      <w:color w:val="auto"/>
                      <w:u w:val="none"/>
                    </w:rPr>
                    <w:t>外墙</w:t>
                  </w:r>
                  <w:r>
                    <w:rPr>
                      <w:b/>
                      <w:color w:val="auto"/>
                      <w:u w:val="none"/>
                    </w:rPr>
                    <w:t>屏蔽墙厚度</w:t>
                  </w:r>
                </w:p>
              </w:tc>
              <w:tc>
                <w:tcPr>
                  <w:tcW w:w="6554" w:type="dxa"/>
                  <w:noWrap w:val="0"/>
                  <w:vAlign w:val="center"/>
                </w:tcPr>
                <w:p>
                  <w:pPr>
                    <w:pStyle w:val="53"/>
                    <w:ind w:firstLine="420" w:firstLineChars="200"/>
                    <w:jc w:val="both"/>
                    <w:rPr>
                      <w:rFonts w:hint="eastAsia"/>
                      <w:color w:val="auto"/>
                      <w:u w:val="none"/>
                      <w:lang w:val="en-US" w:eastAsia="zh-CN"/>
                    </w:rPr>
                  </w:pPr>
                  <w:r>
                    <w:rPr>
                      <w:rFonts w:hint="eastAsia"/>
                      <w:color w:val="auto"/>
                      <w:u w:val="none"/>
                      <w:lang w:val="en-US" w:eastAsia="zh-CN"/>
                    </w:rPr>
                    <w:t>北墙：900mm混凝土</w:t>
                  </w:r>
                </w:p>
                <w:p>
                  <w:pPr>
                    <w:pStyle w:val="53"/>
                    <w:ind w:firstLine="420" w:firstLineChars="200"/>
                    <w:jc w:val="both"/>
                    <w:rPr>
                      <w:rFonts w:hint="default"/>
                      <w:color w:val="auto"/>
                      <w:u w:val="none"/>
                      <w:lang w:val="en-US" w:eastAsia="zh-CN"/>
                    </w:rPr>
                  </w:pPr>
                  <w:r>
                    <w:rPr>
                      <w:rFonts w:hint="eastAsia"/>
                      <w:color w:val="auto"/>
                      <w:u w:val="none"/>
                      <w:lang w:val="en-US" w:eastAsia="zh-CN"/>
                    </w:rPr>
                    <w:t>东、南、西墙：700mm混凝土</w:t>
                  </w:r>
                </w:p>
                <w:p>
                  <w:pPr>
                    <w:pStyle w:val="53"/>
                    <w:ind w:firstLine="420" w:firstLineChars="200"/>
                    <w:jc w:val="both"/>
                    <w:rPr>
                      <w:b/>
                      <w:color w:val="auto"/>
                      <w:u w:val="none"/>
                    </w:rPr>
                  </w:pPr>
                  <w:r>
                    <w:rPr>
                      <w:color w:val="auto"/>
                      <w:u w:val="none"/>
                    </w:rPr>
                    <w:t>顶棚：</w:t>
                  </w:r>
                  <w:r>
                    <w:rPr>
                      <w:rFonts w:hint="eastAsia"/>
                      <w:color w:val="auto"/>
                      <w:u w:val="none"/>
                      <w:lang w:val="en-US" w:eastAsia="zh-CN"/>
                    </w:rPr>
                    <w:t>6</w:t>
                  </w:r>
                  <w:r>
                    <w:rPr>
                      <w:rFonts w:hint="eastAsia"/>
                      <w:color w:val="auto"/>
                      <w:u w:val="none"/>
                    </w:rPr>
                    <w:t>00mm混凝土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76" w:type="dxa"/>
                  <w:noWrap w:val="0"/>
                  <w:vAlign w:val="center"/>
                </w:tcPr>
                <w:p>
                  <w:pPr>
                    <w:pStyle w:val="53"/>
                    <w:rPr>
                      <w:rFonts w:hint="eastAsia"/>
                      <w:b/>
                      <w:color w:val="auto"/>
                      <w:u w:val="none"/>
                    </w:rPr>
                  </w:pPr>
                  <w:r>
                    <w:rPr>
                      <w:rFonts w:hint="eastAsia"/>
                      <w:b/>
                      <w:color w:val="auto"/>
                      <w:u w:val="none"/>
                    </w:rPr>
                    <w:t>大铅门</w:t>
                  </w:r>
                </w:p>
                <w:p>
                  <w:pPr>
                    <w:pStyle w:val="53"/>
                    <w:rPr>
                      <w:b/>
                      <w:color w:val="auto"/>
                      <w:u w:val="none"/>
                    </w:rPr>
                  </w:pPr>
                  <w:r>
                    <w:rPr>
                      <w:rFonts w:hint="eastAsia"/>
                      <w:b/>
                      <w:color w:val="auto"/>
                      <w:u w:val="none"/>
                      <w:lang w:val="en-US" w:eastAsia="zh-CN"/>
                    </w:rPr>
                    <w:t>（西侧，工件进出）</w:t>
                  </w:r>
                </w:p>
              </w:tc>
              <w:tc>
                <w:tcPr>
                  <w:tcW w:w="6554" w:type="dxa"/>
                  <w:noWrap w:val="0"/>
                  <w:vAlign w:val="center"/>
                </w:tcPr>
                <w:p>
                  <w:pPr>
                    <w:pStyle w:val="53"/>
                    <w:ind w:firstLine="420" w:firstLineChars="200"/>
                    <w:jc w:val="both"/>
                    <w:rPr>
                      <w:rFonts w:hint="eastAsia"/>
                      <w:color w:val="auto"/>
                      <w:u w:val="none"/>
                    </w:rPr>
                  </w:pPr>
                  <w:r>
                    <w:rPr>
                      <w:rFonts w:hint="eastAsia"/>
                      <w:color w:val="auto"/>
                      <w:u w:val="none"/>
                      <w:lang w:val="en-US" w:eastAsia="zh-CN"/>
                    </w:rPr>
                    <w:t>门洞</w:t>
                  </w:r>
                  <w:r>
                    <w:rPr>
                      <w:rFonts w:hint="eastAsia"/>
                      <w:color w:val="auto"/>
                      <w:u w:val="none"/>
                    </w:rPr>
                    <w:t>：</w:t>
                  </w:r>
                  <w:r>
                    <w:rPr>
                      <w:rFonts w:hint="eastAsia"/>
                      <w:color w:val="auto"/>
                      <w:u w:val="none"/>
                      <w:lang w:val="en-US" w:eastAsia="zh-CN"/>
                    </w:rPr>
                    <w:t>4500</w:t>
                  </w:r>
                  <w:r>
                    <w:rPr>
                      <w:rFonts w:hint="eastAsia"/>
                      <w:color w:val="auto"/>
                      <w:u w:val="none"/>
                    </w:rPr>
                    <w:t>mm×</w:t>
                  </w:r>
                  <w:r>
                    <w:rPr>
                      <w:rFonts w:hint="eastAsia"/>
                      <w:color w:val="auto"/>
                      <w:u w:val="none"/>
                      <w:lang w:val="en-US" w:eastAsia="zh-CN"/>
                    </w:rPr>
                    <w:t>3800</w:t>
                  </w:r>
                  <w:r>
                    <w:rPr>
                      <w:rFonts w:hint="eastAsia"/>
                      <w:color w:val="auto"/>
                      <w:u w:val="none"/>
                    </w:rPr>
                    <w:t>mm</w:t>
                  </w:r>
                  <w:r>
                    <w:rPr>
                      <w:rFonts w:hint="eastAsia"/>
                      <w:color w:val="auto"/>
                      <w:u w:val="none"/>
                      <w:lang w:val="en-US" w:eastAsia="zh-CN"/>
                    </w:rPr>
                    <w:t xml:space="preserve">   </w:t>
                  </w:r>
                  <w:r>
                    <w:rPr>
                      <w:rFonts w:hint="eastAsia"/>
                      <w:color w:val="auto"/>
                      <w:u w:val="none"/>
                    </w:rPr>
                    <w:t>铅门：</w:t>
                  </w:r>
                  <w:r>
                    <w:rPr>
                      <w:rFonts w:hint="eastAsia"/>
                      <w:color w:val="auto"/>
                      <w:u w:val="none"/>
                      <w:lang w:val="en-US" w:eastAsia="zh-CN"/>
                    </w:rPr>
                    <w:t>2350</w:t>
                  </w:r>
                  <w:r>
                    <w:rPr>
                      <w:rFonts w:hint="eastAsia"/>
                      <w:color w:val="auto"/>
                      <w:u w:val="none"/>
                    </w:rPr>
                    <w:t>mm×</w:t>
                  </w:r>
                  <w:r>
                    <w:rPr>
                      <w:rFonts w:hint="eastAsia"/>
                      <w:color w:val="auto"/>
                      <w:u w:val="none"/>
                      <w:lang w:val="en-US" w:eastAsia="zh-CN"/>
                    </w:rPr>
                    <w:t>40</w:t>
                  </w:r>
                  <w:r>
                    <w:rPr>
                      <w:rFonts w:hint="eastAsia"/>
                      <w:color w:val="auto"/>
                      <w:u w:val="none"/>
                    </w:rPr>
                    <w:t>00mm（两扇）</w:t>
                  </w:r>
                </w:p>
                <w:p>
                  <w:pPr>
                    <w:pStyle w:val="53"/>
                    <w:ind w:firstLine="420" w:firstLineChars="200"/>
                    <w:jc w:val="both"/>
                    <w:rPr>
                      <w:rFonts w:hint="eastAsia"/>
                      <w:color w:val="auto"/>
                      <w:u w:val="none"/>
                    </w:rPr>
                  </w:pPr>
                  <w:r>
                    <w:rPr>
                      <w:color w:val="auto"/>
                      <w:u w:val="none"/>
                    </w:rPr>
                    <w:t>铅门屏蔽：</w:t>
                  </w:r>
                  <w:r>
                    <w:rPr>
                      <w:rFonts w:hint="eastAsia"/>
                      <w:color w:val="auto"/>
                      <w:u w:val="none"/>
                      <w:lang w:val="en-US" w:eastAsia="zh-CN"/>
                    </w:rPr>
                    <w:t>45</w:t>
                  </w:r>
                  <w:r>
                    <w:rPr>
                      <w:rFonts w:hint="eastAsia"/>
                      <w:color w:val="auto"/>
                      <w:u w:val="none"/>
                    </w:rPr>
                    <w:t>mmPb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76" w:type="dxa"/>
                  <w:noWrap w:val="0"/>
                  <w:vAlign w:val="center"/>
                </w:tcPr>
                <w:p>
                  <w:pPr>
                    <w:pStyle w:val="53"/>
                    <w:rPr>
                      <w:rFonts w:hint="eastAsia"/>
                      <w:b/>
                      <w:color w:val="auto"/>
                      <w:u w:val="none"/>
                      <w:lang w:val="en-US" w:eastAsia="zh-CN"/>
                    </w:rPr>
                  </w:pPr>
                  <w:r>
                    <w:rPr>
                      <w:rFonts w:hint="eastAsia"/>
                      <w:b/>
                      <w:color w:val="auto"/>
                      <w:u w:val="none"/>
                      <w:lang w:val="en-US" w:eastAsia="zh-CN"/>
                    </w:rPr>
                    <w:t>维修门</w:t>
                  </w:r>
                </w:p>
                <w:p>
                  <w:pPr>
                    <w:pStyle w:val="53"/>
                    <w:rPr>
                      <w:rFonts w:hint="eastAsia"/>
                      <w:b/>
                      <w:color w:val="auto"/>
                      <w:u w:val="none"/>
                    </w:rPr>
                  </w:pPr>
                  <w:r>
                    <w:rPr>
                      <w:rFonts w:hint="eastAsia"/>
                      <w:b/>
                      <w:color w:val="auto"/>
                      <w:u w:val="none"/>
                      <w:lang w:val="en-US" w:eastAsia="zh-CN"/>
                    </w:rPr>
                    <w:t>（南侧，联通控制室）</w:t>
                  </w:r>
                </w:p>
              </w:tc>
              <w:tc>
                <w:tcPr>
                  <w:tcW w:w="6554" w:type="dxa"/>
                  <w:noWrap w:val="0"/>
                  <w:vAlign w:val="center"/>
                </w:tcPr>
                <w:p>
                  <w:pPr>
                    <w:pStyle w:val="53"/>
                    <w:ind w:firstLine="420" w:firstLineChars="200"/>
                    <w:jc w:val="both"/>
                    <w:rPr>
                      <w:rFonts w:hint="eastAsia"/>
                      <w:color w:val="auto"/>
                      <w:u w:val="none"/>
                    </w:rPr>
                  </w:pPr>
                  <w:r>
                    <w:rPr>
                      <w:rFonts w:hint="eastAsia"/>
                      <w:color w:val="auto"/>
                      <w:u w:val="none"/>
                      <w:lang w:val="en-US" w:eastAsia="zh-CN"/>
                    </w:rPr>
                    <w:t>门洞</w:t>
                  </w:r>
                  <w:r>
                    <w:rPr>
                      <w:rFonts w:hint="eastAsia"/>
                      <w:color w:val="auto"/>
                      <w:u w:val="none"/>
                    </w:rPr>
                    <w:t>：800mm×1800mm</w:t>
                  </w:r>
                  <w:r>
                    <w:rPr>
                      <w:rFonts w:hint="eastAsia"/>
                      <w:color w:val="auto"/>
                      <w:u w:val="none"/>
                      <w:lang w:val="en-US" w:eastAsia="zh-CN"/>
                    </w:rPr>
                    <w:t xml:space="preserve">    铅门</w:t>
                  </w:r>
                  <w:r>
                    <w:rPr>
                      <w:rFonts w:hint="eastAsia"/>
                      <w:color w:val="auto"/>
                      <w:u w:val="none"/>
                    </w:rPr>
                    <w:t>：1000mm×200</w:t>
                  </w:r>
                  <w:r>
                    <w:rPr>
                      <w:rFonts w:hint="eastAsia"/>
                      <w:color w:val="auto"/>
                      <w:u w:val="none"/>
                      <w:lang w:val="en-US" w:eastAsia="zh-CN"/>
                    </w:rPr>
                    <w:t>0</w:t>
                  </w:r>
                  <w:r>
                    <w:rPr>
                      <w:rFonts w:hint="eastAsia"/>
                      <w:color w:val="auto"/>
                      <w:u w:val="none"/>
                    </w:rPr>
                    <w:t>mm</w:t>
                  </w:r>
                </w:p>
                <w:p>
                  <w:pPr>
                    <w:pStyle w:val="53"/>
                    <w:ind w:firstLine="420" w:firstLineChars="200"/>
                    <w:jc w:val="both"/>
                    <w:rPr>
                      <w:color w:val="auto"/>
                      <w:u w:val="none"/>
                    </w:rPr>
                  </w:pPr>
                  <w:r>
                    <w:rPr>
                      <w:color w:val="auto"/>
                      <w:u w:val="none"/>
                    </w:rPr>
                    <w:t>铅门屏蔽：</w:t>
                  </w:r>
                  <w:r>
                    <w:rPr>
                      <w:rFonts w:hint="eastAsia"/>
                      <w:color w:val="auto"/>
                      <w:u w:val="none"/>
                      <w:lang w:val="en-US" w:eastAsia="zh-CN"/>
                    </w:rPr>
                    <w:t>45</w:t>
                  </w:r>
                  <w:r>
                    <w:rPr>
                      <w:rFonts w:hint="eastAsia"/>
                      <w:color w:val="auto"/>
                      <w:u w:val="none"/>
                    </w:rPr>
                    <w:t>mmPb</w:t>
                  </w:r>
                </w:p>
              </w:tc>
            </w:tr>
          </w:tbl>
          <w:p>
            <w:pPr>
              <w:pStyle w:val="42"/>
              <w:rPr>
                <w:rFonts w:hint="default" w:eastAsia="宋体"/>
                <w:b w:val="0"/>
                <w:bCs/>
                <w:color w:val="auto"/>
                <w:u w:val="none"/>
                <w:vertAlign w:val="baseline"/>
                <w:lang w:val="en-US" w:eastAsia="zh-CN"/>
              </w:rPr>
            </w:pPr>
            <w:r>
              <w:rPr>
                <w:rFonts w:hint="eastAsia"/>
                <w:b w:val="0"/>
                <w:bCs/>
                <w:color w:val="auto"/>
                <w:u w:val="none"/>
                <w:lang w:val="en-US" w:eastAsia="zh-CN"/>
              </w:rPr>
              <w:t>备注：项目使用C30混凝土，密度为2.36t/m</w:t>
            </w:r>
            <w:r>
              <w:rPr>
                <w:rFonts w:hint="eastAsia"/>
                <w:b w:val="0"/>
                <w:bCs/>
                <w:color w:val="auto"/>
                <w:u w:val="none"/>
                <w:vertAlign w:val="superscript"/>
                <w:lang w:val="en-US" w:eastAsia="zh-CN"/>
              </w:rPr>
              <w:t>3</w:t>
            </w:r>
            <w:r>
              <w:rPr>
                <w:rFonts w:hint="eastAsia"/>
                <w:b w:val="0"/>
                <w:bCs/>
                <w:color w:val="auto"/>
                <w:u w:val="none"/>
                <w:vertAlign w:val="baseline"/>
                <w:lang w:val="en-US" w:eastAsia="zh-CN"/>
              </w:rPr>
              <w:t>。</w:t>
            </w:r>
          </w:p>
          <w:p>
            <w:pPr>
              <w:pStyle w:val="42"/>
              <w:rPr>
                <w:color w:val="auto"/>
                <w:u w:val="none"/>
              </w:rPr>
            </w:pPr>
            <w:r>
              <w:rPr>
                <w:rFonts w:hint="eastAsia"/>
                <w:color w:val="auto"/>
                <w:u w:val="none"/>
              </w:rPr>
              <w:t>（2）探伤机</w:t>
            </w:r>
          </w:p>
          <w:p>
            <w:pPr>
              <w:pStyle w:val="47"/>
              <w:rPr>
                <w:color w:val="auto"/>
              </w:rPr>
            </w:pPr>
            <w:r>
              <w:rPr>
                <w:rFonts w:hint="eastAsia"/>
                <w:color w:val="auto"/>
              </w:rPr>
              <w:t>本项目使用的探伤设备信息见表1-3</w:t>
            </w:r>
          </w:p>
          <w:p>
            <w:pPr>
              <w:pStyle w:val="49"/>
              <w:rPr>
                <w:color w:val="auto"/>
              </w:rPr>
            </w:pPr>
            <w:r>
              <w:rPr>
                <w:color w:val="auto"/>
              </w:rPr>
              <w:t>表1-3探伤机基本情况一览表</w:t>
            </w:r>
          </w:p>
          <w:tbl>
            <w:tblPr>
              <w:tblStyle w:val="23"/>
              <w:tblW w:w="91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25"/>
              <w:gridCol w:w="1150"/>
              <w:gridCol w:w="1150"/>
              <w:gridCol w:w="1150"/>
              <w:gridCol w:w="1150"/>
              <w:gridCol w:w="1150"/>
              <w:gridCol w:w="11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25" w:type="dxa"/>
                  <w:noWrap w:val="0"/>
                  <w:vAlign w:val="center"/>
                </w:tcPr>
                <w:p>
                  <w:pPr>
                    <w:pStyle w:val="53"/>
                    <w:rPr>
                      <w:b/>
                      <w:bCs/>
                      <w:color w:val="auto"/>
                    </w:rPr>
                  </w:pPr>
                  <w:r>
                    <w:rPr>
                      <w:rFonts w:hint="eastAsia"/>
                      <w:b/>
                      <w:bCs/>
                      <w:color w:val="auto"/>
                    </w:rPr>
                    <w:t>装置</w:t>
                  </w:r>
                  <w:r>
                    <w:rPr>
                      <w:b/>
                      <w:bCs/>
                      <w:color w:val="auto"/>
                    </w:rPr>
                    <w:t>名称</w:t>
                  </w:r>
                </w:p>
              </w:tc>
              <w:tc>
                <w:tcPr>
                  <w:tcW w:w="1150" w:type="dxa"/>
                  <w:noWrap w:val="0"/>
                  <w:vAlign w:val="center"/>
                </w:tcPr>
                <w:p>
                  <w:pPr>
                    <w:pStyle w:val="53"/>
                    <w:rPr>
                      <w:b/>
                      <w:bCs/>
                      <w:color w:val="auto"/>
                    </w:rPr>
                  </w:pPr>
                  <w:r>
                    <w:rPr>
                      <w:rFonts w:hint="eastAsia"/>
                      <w:b/>
                      <w:bCs/>
                      <w:color w:val="auto"/>
                    </w:rPr>
                    <w:t>型号</w:t>
                  </w:r>
                </w:p>
              </w:tc>
              <w:tc>
                <w:tcPr>
                  <w:tcW w:w="1150" w:type="dxa"/>
                  <w:noWrap w:val="0"/>
                  <w:vAlign w:val="center"/>
                </w:tcPr>
                <w:p>
                  <w:pPr>
                    <w:pStyle w:val="53"/>
                    <w:rPr>
                      <w:b/>
                      <w:bCs/>
                      <w:color w:val="auto"/>
                    </w:rPr>
                  </w:pPr>
                  <w:r>
                    <w:rPr>
                      <w:rFonts w:hint="eastAsia"/>
                      <w:b/>
                      <w:bCs/>
                      <w:color w:val="auto"/>
                    </w:rPr>
                    <w:t>额定</w:t>
                  </w:r>
                  <w:r>
                    <w:rPr>
                      <w:b/>
                      <w:bCs/>
                      <w:color w:val="auto"/>
                    </w:rPr>
                    <w:t>电压</w:t>
                  </w:r>
                </w:p>
              </w:tc>
              <w:tc>
                <w:tcPr>
                  <w:tcW w:w="1150" w:type="dxa"/>
                  <w:noWrap w:val="0"/>
                  <w:vAlign w:val="center"/>
                </w:tcPr>
                <w:p>
                  <w:pPr>
                    <w:pStyle w:val="53"/>
                    <w:rPr>
                      <w:b/>
                      <w:bCs/>
                      <w:color w:val="auto"/>
                    </w:rPr>
                  </w:pPr>
                  <w:r>
                    <w:rPr>
                      <w:rFonts w:hint="eastAsia"/>
                      <w:b/>
                      <w:bCs/>
                      <w:color w:val="auto"/>
                    </w:rPr>
                    <w:t>额定</w:t>
                  </w:r>
                  <w:r>
                    <w:rPr>
                      <w:b/>
                      <w:bCs/>
                      <w:color w:val="auto"/>
                    </w:rPr>
                    <w:t>电流</w:t>
                  </w:r>
                </w:p>
              </w:tc>
              <w:tc>
                <w:tcPr>
                  <w:tcW w:w="1150" w:type="dxa"/>
                  <w:noWrap w:val="0"/>
                  <w:vAlign w:val="center"/>
                </w:tcPr>
                <w:p>
                  <w:pPr>
                    <w:pStyle w:val="53"/>
                    <w:rPr>
                      <w:b/>
                      <w:bCs/>
                      <w:color w:val="auto"/>
                    </w:rPr>
                  </w:pPr>
                  <w:r>
                    <w:rPr>
                      <w:rFonts w:hint="eastAsia"/>
                      <w:b/>
                      <w:bCs/>
                      <w:color w:val="auto"/>
                    </w:rPr>
                    <w:t>数量</w:t>
                  </w:r>
                </w:p>
              </w:tc>
              <w:tc>
                <w:tcPr>
                  <w:tcW w:w="1150" w:type="dxa"/>
                  <w:noWrap w:val="0"/>
                  <w:vAlign w:val="center"/>
                </w:tcPr>
                <w:p>
                  <w:pPr>
                    <w:pStyle w:val="53"/>
                    <w:rPr>
                      <w:b/>
                      <w:bCs/>
                      <w:color w:val="auto"/>
                    </w:rPr>
                  </w:pPr>
                  <w:r>
                    <w:rPr>
                      <w:rFonts w:hint="eastAsia"/>
                      <w:b/>
                      <w:bCs/>
                      <w:color w:val="auto"/>
                    </w:rPr>
                    <w:t>主射方向</w:t>
                  </w:r>
                </w:p>
              </w:tc>
              <w:tc>
                <w:tcPr>
                  <w:tcW w:w="1155" w:type="dxa"/>
                  <w:noWrap w:val="0"/>
                  <w:vAlign w:val="center"/>
                </w:tcPr>
                <w:p>
                  <w:pPr>
                    <w:pStyle w:val="53"/>
                    <w:rPr>
                      <w:b/>
                      <w:bCs/>
                      <w:color w:val="auto"/>
                    </w:rPr>
                  </w:pPr>
                  <w:r>
                    <w:rPr>
                      <w:rFonts w:hint="eastAsia"/>
                      <w:b/>
                      <w:bCs/>
                      <w:color w:val="auto"/>
                    </w:rPr>
                    <w:t>类别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25" w:type="dxa"/>
                  <w:noWrap w:val="0"/>
                  <w:vAlign w:val="center"/>
                </w:tcPr>
                <w:p>
                  <w:pPr>
                    <w:pStyle w:val="53"/>
                    <w:rPr>
                      <w:color w:val="auto"/>
                    </w:rPr>
                  </w:pPr>
                  <w:r>
                    <w:rPr>
                      <w:rFonts w:hint="eastAsia"/>
                      <w:color w:val="auto"/>
                      <w:u w:val="single"/>
                      <w:lang w:val="en-US" w:eastAsia="zh-CN"/>
                    </w:rPr>
                    <w:t>X射线数字成像(DR)检测系统</w:t>
                  </w:r>
                </w:p>
              </w:tc>
              <w:tc>
                <w:tcPr>
                  <w:tcW w:w="1150" w:type="dxa"/>
                  <w:noWrap w:val="0"/>
                  <w:vAlign w:val="center"/>
                </w:tcPr>
                <w:p>
                  <w:pPr>
                    <w:pStyle w:val="53"/>
                    <w:rPr>
                      <w:color w:val="auto"/>
                    </w:rPr>
                  </w:pPr>
                  <w:r>
                    <w:rPr>
                      <w:rFonts w:hint="eastAsia"/>
                      <w:color w:val="auto"/>
                      <w:u w:val="single"/>
                      <w:lang w:val="en-US" w:eastAsia="zh-CN"/>
                    </w:rPr>
                    <w:t>ZXFlasee S-450型</w:t>
                  </w:r>
                </w:p>
              </w:tc>
              <w:tc>
                <w:tcPr>
                  <w:tcW w:w="1150" w:type="dxa"/>
                  <w:noWrap w:val="0"/>
                  <w:vAlign w:val="center"/>
                </w:tcPr>
                <w:p>
                  <w:pPr>
                    <w:pStyle w:val="53"/>
                    <w:rPr>
                      <w:color w:val="auto"/>
                    </w:rPr>
                  </w:pPr>
                  <w:r>
                    <w:rPr>
                      <w:rFonts w:hint="eastAsia"/>
                      <w:color w:val="auto"/>
                      <w:lang w:val="en-US" w:eastAsia="zh-CN"/>
                    </w:rPr>
                    <w:t>450</w:t>
                  </w:r>
                  <w:r>
                    <w:rPr>
                      <w:color w:val="auto"/>
                    </w:rPr>
                    <w:t>kV</w:t>
                  </w:r>
                </w:p>
              </w:tc>
              <w:tc>
                <w:tcPr>
                  <w:tcW w:w="1150" w:type="dxa"/>
                  <w:noWrap w:val="0"/>
                  <w:vAlign w:val="center"/>
                </w:tcPr>
                <w:p>
                  <w:pPr>
                    <w:pStyle w:val="53"/>
                    <w:rPr>
                      <w:color w:val="auto"/>
                    </w:rPr>
                  </w:pPr>
                  <w:r>
                    <w:rPr>
                      <w:rFonts w:hint="eastAsia"/>
                      <w:color w:val="auto"/>
                    </w:rPr>
                    <w:t>3</w:t>
                  </w:r>
                  <w:r>
                    <w:rPr>
                      <w:rFonts w:hint="eastAsia"/>
                      <w:color w:val="auto"/>
                      <w:lang w:val="en-US" w:eastAsia="zh-CN"/>
                    </w:rPr>
                    <w:t>0</w:t>
                  </w:r>
                  <w:r>
                    <w:rPr>
                      <w:rFonts w:hint="eastAsia"/>
                      <w:color w:val="auto"/>
                    </w:rPr>
                    <w:t>mA</w:t>
                  </w:r>
                </w:p>
              </w:tc>
              <w:tc>
                <w:tcPr>
                  <w:tcW w:w="1150" w:type="dxa"/>
                  <w:noWrap w:val="0"/>
                  <w:vAlign w:val="center"/>
                </w:tcPr>
                <w:p>
                  <w:pPr>
                    <w:pStyle w:val="53"/>
                    <w:rPr>
                      <w:color w:val="auto"/>
                    </w:rPr>
                  </w:pPr>
                  <w:r>
                    <w:rPr>
                      <w:rFonts w:hint="eastAsia"/>
                      <w:color w:val="auto"/>
                    </w:rPr>
                    <w:t>1</w:t>
                  </w:r>
                </w:p>
              </w:tc>
              <w:tc>
                <w:tcPr>
                  <w:tcW w:w="1150" w:type="dxa"/>
                  <w:noWrap w:val="0"/>
                  <w:vAlign w:val="center"/>
                </w:tcPr>
                <w:p>
                  <w:pPr>
                    <w:pStyle w:val="53"/>
                    <w:rPr>
                      <w:rFonts w:hint="default" w:eastAsia="宋体"/>
                      <w:color w:val="auto"/>
                      <w:lang w:val="en-US" w:eastAsia="zh-CN"/>
                    </w:rPr>
                  </w:pPr>
                  <w:r>
                    <w:rPr>
                      <w:rFonts w:hint="eastAsia"/>
                      <w:color w:val="auto"/>
                      <w:lang w:val="en-US" w:eastAsia="zh-CN"/>
                    </w:rPr>
                    <w:t>朝北</w:t>
                  </w:r>
                </w:p>
              </w:tc>
              <w:tc>
                <w:tcPr>
                  <w:tcW w:w="1155" w:type="dxa"/>
                  <w:noWrap w:val="0"/>
                  <w:vAlign w:val="center"/>
                </w:tcPr>
                <w:p>
                  <w:pPr>
                    <w:pStyle w:val="53"/>
                    <w:rPr>
                      <w:color w:val="auto"/>
                    </w:rPr>
                  </w:pPr>
                  <w:r>
                    <w:rPr>
                      <w:rFonts w:hint="eastAsia"/>
                      <w:color w:val="auto"/>
                    </w:rPr>
                    <w:t>Ⅱ类</w:t>
                  </w:r>
                </w:p>
              </w:tc>
            </w:tr>
          </w:tbl>
          <w:p>
            <w:pPr>
              <w:pStyle w:val="42"/>
              <w:rPr>
                <w:color w:val="auto"/>
              </w:rPr>
            </w:pPr>
            <w:r>
              <w:rPr>
                <w:rFonts w:hint="eastAsia"/>
                <w:color w:val="auto"/>
              </w:rPr>
              <w:t>（3）人员配置情况</w:t>
            </w:r>
          </w:p>
          <w:p>
            <w:pPr>
              <w:pStyle w:val="47"/>
              <w:rPr>
                <w:color w:val="auto"/>
              </w:rPr>
            </w:pPr>
            <w:r>
              <w:rPr>
                <w:rFonts w:hint="eastAsia"/>
                <w:color w:val="auto"/>
              </w:rPr>
              <w:t>拟配置</w:t>
            </w:r>
            <w:r>
              <w:rPr>
                <w:rFonts w:hint="eastAsia"/>
                <w:color w:val="auto"/>
                <w:lang w:val="en-US" w:eastAsia="zh-CN"/>
              </w:rPr>
              <w:t>2</w:t>
            </w:r>
            <w:r>
              <w:rPr>
                <w:rFonts w:hint="eastAsia"/>
                <w:color w:val="auto"/>
              </w:rPr>
              <w:t>名辐射</w:t>
            </w:r>
            <w:r>
              <w:rPr>
                <w:color w:val="auto"/>
              </w:rPr>
              <w:t>工作人员，</w:t>
            </w:r>
            <w:r>
              <w:rPr>
                <w:rFonts w:hint="eastAsia"/>
                <w:color w:val="auto"/>
              </w:rPr>
              <w:t>其中一名管理人员，两名操作人员，操作</w:t>
            </w:r>
            <w:r>
              <w:rPr>
                <w:color w:val="auto"/>
              </w:rPr>
              <w:t>人员主要负责探伤机的日常探伤透照作业和拟测工件的摆件以及</w:t>
            </w:r>
            <w:r>
              <w:rPr>
                <w:rFonts w:hint="eastAsia"/>
                <w:color w:val="auto"/>
              </w:rPr>
              <w:t>待测工件的运输。</w:t>
            </w:r>
          </w:p>
          <w:p>
            <w:pPr>
              <w:pStyle w:val="42"/>
              <w:rPr>
                <w:color w:val="auto"/>
              </w:rPr>
            </w:pPr>
            <w:r>
              <w:rPr>
                <w:rFonts w:hint="eastAsia"/>
                <w:color w:val="auto"/>
              </w:rPr>
              <w:t>（4）待测工件情况</w:t>
            </w:r>
          </w:p>
          <w:p>
            <w:pPr>
              <w:pStyle w:val="47"/>
              <w:rPr>
                <w:color w:val="auto"/>
              </w:rPr>
            </w:pPr>
            <w:r>
              <w:rPr>
                <w:color w:val="auto"/>
              </w:rPr>
              <w:t>本项目</w:t>
            </w:r>
            <w:r>
              <w:rPr>
                <w:rFonts w:hint="eastAsia"/>
                <w:color w:val="auto"/>
              </w:rPr>
              <w:t>日探伤检测的工件数量约</w:t>
            </w:r>
            <w:r>
              <w:rPr>
                <w:rFonts w:hint="eastAsia"/>
                <w:color w:val="auto"/>
                <w:lang w:val="en-US" w:eastAsia="zh-CN"/>
              </w:rPr>
              <w:t>10</w:t>
            </w:r>
            <w:r>
              <w:rPr>
                <w:rFonts w:hint="eastAsia"/>
                <w:color w:val="auto"/>
              </w:rPr>
              <w:t>件，</w:t>
            </w:r>
            <w:r>
              <w:rPr>
                <w:rFonts w:hint="eastAsia"/>
                <w:color w:val="auto"/>
                <w:lang w:val="en-US" w:eastAsia="zh-CN"/>
              </w:rPr>
              <w:t>具体参数见表1-4</w:t>
            </w:r>
            <w:r>
              <w:rPr>
                <w:rFonts w:hint="eastAsia"/>
                <w:color w:val="auto"/>
              </w:rPr>
              <w:t>。</w:t>
            </w:r>
          </w:p>
          <w:p>
            <w:pPr>
              <w:pStyle w:val="49"/>
              <w:rPr>
                <w:rFonts w:hint="default" w:ascii="Times New Roman" w:hAnsi="Times New Roman" w:cs="Times New Roman"/>
                <w:color w:val="auto"/>
              </w:rPr>
            </w:pPr>
            <w:r>
              <w:rPr>
                <w:rFonts w:hint="default" w:ascii="Times New Roman" w:hAnsi="Times New Roman" w:cs="Times New Roman"/>
                <w:color w:val="auto"/>
              </w:rPr>
              <w:t>表1-4</w:t>
            </w:r>
            <w:r>
              <w:rPr>
                <w:rFonts w:hint="default" w:ascii="Times New Roman" w:hAnsi="Times New Roman" w:cs="Times New Roman"/>
                <w:color w:val="auto"/>
                <w:lang w:val="en-US" w:eastAsia="zh-CN"/>
              </w:rPr>
              <w:t>工件</w:t>
            </w:r>
            <w:r>
              <w:rPr>
                <w:rFonts w:hint="default" w:ascii="Times New Roman" w:hAnsi="Times New Roman" w:cs="Times New Roman"/>
                <w:color w:val="auto"/>
              </w:rPr>
              <w:t>参数</w:t>
            </w:r>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50"/>
              <w:gridCol w:w="54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43" w:type="dxa"/>
                  <w:noWrap w:val="0"/>
                  <w:vAlign w:val="top"/>
                </w:tcPr>
                <w:p>
                  <w:pPr>
                    <w:pStyle w:val="53"/>
                    <w:rPr>
                      <w:color w:val="auto"/>
                    </w:rPr>
                  </w:pPr>
                  <w:r>
                    <w:rPr>
                      <w:rFonts w:hint="eastAsia"/>
                      <w:color w:val="auto"/>
                      <w:lang w:val="en-US" w:eastAsia="zh-CN"/>
                    </w:rPr>
                    <w:t>设备尺寸</w:t>
                  </w:r>
                </w:p>
              </w:tc>
              <w:tc>
                <w:tcPr>
                  <w:tcW w:w="3067" w:type="dxa"/>
                  <w:noWrap w:val="0"/>
                  <w:vAlign w:val="top"/>
                </w:tcPr>
                <w:p>
                  <w:pPr>
                    <w:pStyle w:val="53"/>
                    <w:rPr>
                      <w:color w:val="auto"/>
                    </w:rPr>
                  </w:pPr>
                  <w:r>
                    <w:rPr>
                      <w:rFonts w:hint="eastAsia"/>
                      <w:color w:val="auto"/>
                      <w:lang w:val="en-US" w:eastAsia="zh-CN"/>
                    </w:rPr>
                    <w:t>直径1至3m，长度最长8m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43" w:type="dxa"/>
                  <w:noWrap w:val="0"/>
                  <w:vAlign w:val="top"/>
                </w:tcPr>
                <w:p>
                  <w:pPr>
                    <w:pStyle w:val="53"/>
                    <w:rPr>
                      <w:color w:val="auto"/>
                      <w:kern w:val="0"/>
                    </w:rPr>
                  </w:pPr>
                  <w:r>
                    <w:rPr>
                      <w:rFonts w:hint="eastAsia"/>
                      <w:color w:val="auto"/>
                      <w:lang w:val="en-US" w:eastAsia="zh-CN"/>
                    </w:rPr>
                    <w:t>焊缝类型</w:t>
                  </w:r>
                </w:p>
              </w:tc>
              <w:tc>
                <w:tcPr>
                  <w:tcW w:w="3067" w:type="dxa"/>
                  <w:noWrap w:val="0"/>
                  <w:vAlign w:val="top"/>
                </w:tcPr>
                <w:p>
                  <w:pPr>
                    <w:pStyle w:val="53"/>
                    <w:rPr>
                      <w:color w:val="auto"/>
                      <w:kern w:val="0"/>
                    </w:rPr>
                  </w:pPr>
                  <w:r>
                    <w:rPr>
                      <w:rFonts w:hint="eastAsia"/>
                      <w:color w:val="auto"/>
                      <w:kern w:val="0"/>
                      <w:lang w:val="en-US" w:eastAsia="zh-CN"/>
                    </w:rPr>
                    <w:t>环焊缝和直焊缝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43" w:type="dxa"/>
                  <w:noWrap w:val="0"/>
                  <w:vAlign w:val="top"/>
                </w:tcPr>
                <w:p>
                  <w:pPr>
                    <w:pStyle w:val="53"/>
                    <w:rPr>
                      <w:rFonts w:hint="eastAsia"/>
                      <w:color w:val="auto"/>
                      <w:kern w:val="0"/>
                    </w:rPr>
                  </w:pPr>
                  <w:r>
                    <w:rPr>
                      <w:rFonts w:hint="eastAsia"/>
                      <w:color w:val="auto"/>
                      <w:lang w:val="en-US" w:eastAsia="zh-CN"/>
                    </w:rPr>
                    <w:t>法兰及入孔</w:t>
                  </w:r>
                </w:p>
              </w:tc>
              <w:tc>
                <w:tcPr>
                  <w:tcW w:w="3067" w:type="dxa"/>
                  <w:noWrap w:val="0"/>
                  <w:vAlign w:val="top"/>
                </w:tcPr>
                <w:p>
                  <w:pPr>
                    <w:pStyle w:val="53"/>
                    <w:rPr>
                      <w:rFonts w:hint="eastAsia"/>
                      <w:color w:val="auto"/>
                      <w:kern w:val="0"/>
                    </w:rPr>
                  </w:pPr>
                  <w:r>
                    <w:rPr>
                      <w:rFonts w:hint="eastAsia"/>
                      <w:color w:val="auto"/>
                      <w:kern w:val="0"/>
                      <w:lang w:val="en-US" w:eastAsia="zh-CN"/>
                    </w:rPr>
                    <w:t>20至500mm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43" w:type="dxa"/>
                  <w:noWrap w:val="0"/>
                  <w:vAlign w:val="top"/>
                </w:tcPr>
                <w:p>
                  <w:pPr>
                    <w:pStyle w:val="53"/>
                    <w:rPr>
                      <w:rFonts w:hint="eastAsia"/>
                      <w:color w:val="auto"/>
                      <w:kern w:val="0"/>
                    </w:rPr>
                  </w:pPr>
                  <w:r>
                    <w:rPr>
                      <w:rFonts w:hint="eastAsia"/>
                      <w:color w:val="auto"/>
                      <w:lang w:val="en-US" w:eastAsia="zh-CN"/>
                    </w:rPr>
                    <w:t>壁厚</w:t>
                  </w:r>
                </w:p>
              </w:tc>
              <w:tc>
                <w:tcPr>
                  <w:tcW w:w="3067" w:type="dxa"/>
                  <w:noWrap w:val="0"/>
                  <w:vAlign w:val="top"/>
                </w:tcPr>
                <w:p>
                  <w:pPr>
                    <w:pStyle w:val="53"/>
                    <w:rPr>
                      <w:rFonts w:hint="eastAsia"/>
                      <w:color w:val="auto"/>
                      <w:kern w:val="0"/>
                    </w:rPr>
                  </w:pPr>
                  <w:r>
                    <w:rPr>
                      <w:rFonts w:hint="eastAsia"/>
                      <w:color w:val="auto"/>
                      <w:lang w:val="en-US" w:eastAsia="zh-CN"/>
                    </w:rPr>
                    <w:t>8至12mm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43" w:type="dxa"/>
                  <w:noWrap w:val="0"/>
                  <w:vAlign w:val="top"/>
                </w:tcPr>
                <w:p>
                  <w:pPr>
                    <w:pStyle w:val="53"/>
                    <w:rPr>
                      <w:rFonts w:hint="eastAsia"/>
                      <w:color w:val="auto"/>
                      <w:kern w:val="0"/>
                    </w:rPr>
                  </w:pPr>
                  <w:r>
                    <w:rPr>
                      <w:rFonts w:hint="eastAsia"/>
                      <w:color w:val="auto"/>
                      <w:lang w:val="en-US" w:eastAsia="zh-CN"/>
                    </w:rPr>
                    <w:t>法兰厚度</w:t>
                  </w:r>
                </w:p>
              </w:tc>
              <w:tc>
                <w:tcPr>
                  <w:tcW w:w="3067" w:type="dxa"/>
                  <w:noWrap w:val="0"/>
                  <w:vAlign w:val="top"/>
                </w:tcPr>
                <w:p>
                  <w:pPr>
                    <w:pStyle w:val="53"/>
                    <w:rPr>
                      <w:rFonts w:hint="eastAsia"/>
                      <w:color w:val="auto"/>
                      <w:kern w:val="0"/>
                    </w:rPr>
                  </w:pPr>
                  <w:r>
                    <w:rPr>
                      <w:rFonts w:hint="eastAsia"/>
                      <w:color w:val="auto"/>
                      <w:lang w:val="en-US" w:eastAsia="zh-CN"/>
                    </w:rPr>
                    <w:t>25至30mm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43" w:type="dxa"/>
                  <w:noWrap w:val="0"/>
                  <w:vAlign w:val="top"/>
                </w:tcPr>
                <w:p>
                  <w:pPr>
                    <w:pStyle w:val="53"/>
                    <w:rPr>
                      <w:rFonts w:hint="eastAsia"/>
                      <w:color w:val="auto"/>
                      <w:kern w:val="0"/>
                    </w:rPr>
                  </w:pPr>
                  <w:r>
                    <w:rPr>
                      <w:rFonts w:hint="eastAsia"/>
                      <w:color w:val="auto"/>
                      <w:lang w:val="en-US" w:eastAsia="zh-CN"/>
                    </w:rPr>
                    <w:t>材质</w:t>
                  </w:r>
                </w:p>
              </w:tc>
              <w:tc>
                <w:tcPr>
                  <w:tcW w:w="3067" w:type="dxa"/>
                  <w:noWrap w:val="0"/>
                  <w:vAlign w:val="top"/>
                </w:tcPr>
                <w:p>
                  <w:pPr>
                    <w:pStyle w:val="53"/>
                    <w:rPr>
                      <w:rFonts w:hint="eastAsia"/>
                      <w:color w:val="auto"/>
                      <w:kern w:val="0"/>
                    </w:rPr>
                  </w:pPr>
                  <w:r>
                    <w:rPr>
                      <w:rFonts w:hint="eastAsia"/>
                      <w:color w:val="auto"/>
                      <w:kern w:val="0"/>
                      <w:lang w:val="en-US" w:eastAsia="zh-CN"/>
                    </w:rPr>
                    <w:t>碳钢和不锈钢</w:t>
                  </w:r>
                </w:p>
              </w:tc>
            </w:tr>
          </w:tbl>
          <w:p>
            <w:pPr>
              <w:pStyle w:val="42"/>
              <w:rPr>
                <w:color w:val="auto"/>
              </w:rPr>
            </w:pPr>
            <w:r>
              <w:rPr>
                <w:rFonts w:hint="eastAsia"/>
                <w:color w:val="auto"/>
              </w:rPr>
              <w:t>（5）工作量负荷</w:t>
            </w:r>
          </w:p>
          <w:p>
            <w:pPr>
              <w:pStyle w:val="47"/>
              <w:rPr>
                <w:color w:val="auto"/>
              </w:rPr>
            </w:pPr>
            <w:r>
              <w:rPr>
                <w:rFonts w:hint="eastAsia"/>
                <w:color w:val="auto"/>
              </w:rPr>
              <w:t>每天工作</w:t>
            </w:r>
            <w:r>
              <w:rPr>
                <w:color w:val="auto"/>
              </w:rPr>
              <w:t>8</w:t>
            </w:r>
            <w:r>
              <w:rPr>
                <w:rFonts w:hint="eastAsia"/>
                <w:color w:val="auto"/>
              </w:rPr>
              <w:t>小时，</w:t>
            </w:r>
            <w:r>
              <w:rPr>
                <w:rFonts w:hint="eastAsia"/>
                <w:color w:val="auto"/>
                <w:lang w:val="en-US" w:eastAsia="zh-CN"/>
              </w:rPr>
              <w:t>每周最大工作时间为5天，</w:t>
            </w:r>
            <w:r>
              <w:rPr>
                <w:rFonts w:hint="eastAsia"/>
                <w:color w:val="auto"/>
              </w:rPr>
              <w:t>年工作约</w:t>
            </w:r>
            <w:r>
              <w:rPr>
                <w:rFonts w:hint="eastAsia"/>
                <w:color w:val="auto"/>
                <w:lang w:val="en-US" w:eastAsia="zh-CN"/>
              </w:rPr>
              <w:t>250</w:t>
            </w:r>
            <w:r>
              <w:rPr>
                <w:rFonts w:hint="eastAsia"/>
                <w:color w:val="auto"/>
              </w:rPr>
              <w:t>天。每天检测管件10件，每件</w:t>
            </w:r>
            <w:r>
              <w:rPr>
                <w:rFonts w:hint="eastAsia"/>
                <w:color w:val="auto"/>
                <w:lang w:val="en-US" w:eastAsia="zh-CN"/>
              </w:rPr>
              <w:t>工件</w:t>
            </w:r>
            <w:r>
              <w:rPr>
                <w:rFonts w:hint="eastAsia"/>
                <w:color w:val="auto"/>
              </w:rPr>
              <w:t>最大检测时间</w:t>
            </w:r>
            <w:r>
              <w:rPr>
                <w:rFonts w:hint="eastAsia"/>
                <w:color w:val="auto"/>
                <w:lang w:val="en-US" w:eastAsia="zh-CN"/>
              </w:rPr>
              <w:t>2</w:t>
            </w:r>
            <w:r>
              <w:rPr>
                <w:rFonts w:hint="eastAsia"/>
                <w:color w:val="auto"/>
              </w:rPr>
              <w:t>min，每年最大检测时间约</w:t>
            </w:r>
            <w:r>
              <w:rPr>
                <w:rFonts w:hint="eastAsia"/>
                <w:color w:val="auto"/>
                <w:lang w:val="en-US" w:eastAsia="zh-CN"/>
              </w:rPr>
              <w:t>83.33</w:t>
            </w:r>
            <w:r>
              <w:rPr>
                <w:rFonts w:hint="eastAsia"/>
                <w:color w:val="auto"/>
              </w:rPr>
              <w:t>h，每周最大检测时间</w:t>
            </w:r>
            <w:r>
              <w:rPr>
                <w:rFonts w:hint="eastAsia"/>
                <w:color w:val="auto"/>
                <w:lang w:val="en-US" w:eastAsia="zh-CN"/>
              </w:rPr>
              <w:t>1.67</w:t>
            </w:r>
            <w:r>
              <w:rPr>
                <w:rFonts w:hint="eastAsia"/>
                <w:color w:val="auto"/>
              </w:rPr>
              <w:t>h。</w:t>
            </w:r>
          </w:p>
          <w:p>
            <w:pPr>
              <w:pStyle w:val="45"/>
              <w:spacing w:before="156" w:after="156"/>
              <w:rPr>
                <w:color w:val="auto"/>
              </w:rPr>
            </w:pPr>
            <w:r>
              <w:rPr>
                <w:rFonts w:hint="eastAsia"/>
                <w:color w:val="auto"/>
              </w:rPr>
              <w:t>1.5项目周边环境概况</w:t>
            </w:r>
          </w:p>
          <w:p>
            <w:pPr>
              <w:pStyle w:val="47"/>
              <w:rPr>
                <w:color w:val="auto"/>
              </w:rPr>
            </w:pPr>
            <w:r>
              <w:rPr>
                <w:rFonts w:hint="eastAsia" w:ascii="宋体" w:hAnsi="宋体"/>
                <w:color w:val="auto"/>
                <w:lang w:eastAsia="zh-CN"/>
              </w:rPr>
              <w:t>长沙赛恩斯环保工程技术有限公司压力容器制造无损检测探伤房建设项目</w:t>
            </w:r>
            <w:r>
              <w:rPr>
                <w:rFonts w:hint="eastAsia"/>
                <w:color w:val="auto"/>
              </w:rPr>
              <w:t>位于</w:t>
            </w:r>
            <w:r>
              <w:rPr>
                <w:rFonts w:hint="eastAsia" w:ascii="宋体" w:hAnsi="宋体"/>
                <w:color w:val="auto"/>
                <w:sz w:val="24"/>
                <w:szCs w:val="24"/>
                <w:lang w:val="en-US" w:eastAsia="zh-CN"/>
              </w:rPr>
              <w:t>宁乡县金洲新区金沙西路048号</w:t>
            </w:r>
            <w:r>
              <w:rPr>
                <w:rFonts w:hint="eastAsia" w:ascii="宋体" w:hAnsi="宋体"/>
                <w:color w:val="auto"/>
                <w:lang w:eastAsia="zh-CN"/>
              </w:rPr>
              <w:t>长沙赛恩斯环保工程技术有限公司</w:t>
            </w:r>
            <w:r>
              <w:rPr>
                <w:rFonts w:hint="eastAsia" w:ascii="宋体" w:hAnsi="宋体"/>
                <w:color w:val="auto"/>
              </w:rPr>
              <w:t>厂区内</w:t>
            </w:r>
            <w:r>
              <w:rPr>
                <w:rFonts w:hint="eastAsia"/>
                <w:color w:val="auto"/>
              </w:rPr>
              <w:t>，探伤室</w:t>
            </w:r>
            <w:r>
              <w:rPr>
                <w:rFonts w:hint="eastAsia"/>
                <w:color w:val="auto"/>
                <w:lang w:val="en-US" w:eastAsia="zh-CN"/>
              </w:rPr>
              <w:t>墙体50m范围内</w:t>
            </w:r>
            <w:r>
              <w:rPr>
                <w:rFonts w:hint="eastAsia"/>
                <w:color w:val="auto"/>
              </w:rPr>
              <w:t>东侧为公司</w:t>
            </w:r>
            <w:r>
              <w:rPr>
                <w:rFonts w:hint="eastAsia"/>
                <w:color w:val="auto"/>
                <w:lang w:val="en-US" w:eastAsia="zh-CN"/>
              </w:rPr>
              <w:t>成套设备生产车间</w:t>
            </w:r>
            <w:r>
              <w:rPr>
                <w:rFonts w:hint="eastAsia"/>
                <w:color w:val="auto"/>
              </w:rPr>
              <w:t>，</w:t>
            </w:r>
            <w:r>
              <w:rPr>
                <w:rFonts w:hint="eastAsia"/>
                <w:color w:val="auto"/>
                <w:lang w:val="en-US" w:eastAsia="zh-CN"/>
              </w:rPr>
              <w:t>南侧为控制室和成套设备生产车间</w:t>
            </w:r>
            <w:r>
              <w:rPr>
                <w:rFonts w:hint="eastAsia"/>
                <w:color w:val="auto"/>
              </w:rPr>
              <w:t>，</w:t>
            </w:r>
            <w:r>
              <w:rPr>
                <w:rFonts w:hint="eastAsia"/>
                <w:color w:val="auto"/>
                <w:lang w:val="en-US" w:eastAsia="zh-CN"/>
              </w:rPr>
              <w:t>西侧</w:t>
            </w:r>
            <w:r>
              <w:rPr>
                <w:rFonts w:hint="eastAsia"/>
                <w:color w:val="auto"/>
              </w:rPr>
              <w:t>为</w:t>
            </w:r>
            <w:r>
              <w:rPr>
                <w:rFonts w:hint="eastAsia"/>
                <w:color w:val="auto"/>
                <w:lang w:val="en-US" w:eastAsia="zh-CN"/>
              </w:rPr>
              <w:t>公司内道路和三期预留建设用地（目前为空地）</w:t>
            </w:r>
            <w:r>
              <w:rPr>
                <w:rFonts w:hint="eastAsia"/>
                <w:color w:val="auto"/>
              </w:rPr>
              <w:t>，探伤室北侧</w:t>
            </w:r>
            <w:r>
              <w:rPr>
                <w:rFonts w:hint="eastAsia"/>
                <w:color w:val="auto"/>
                <w:lang w:val="en-US" w:eastAsia="zh-CN"/>
              </w:rPr>
              <w:t>为公司内部道理和工业园厂房</w:t>
            </w:r>
            <w:r>
              <w:rPr>
                <w:rFonts w:hint="eastAsia"/>
                <w:color w:val="auto"/>
              </w:rPr>
              <w:t>。厂区平面布置图见附图2。</w:t>
            </w:r>
          </w:p>
          <w:p>
            <w:pPr>
              <w:pStyle w:val="45"/>
              <w:spacing w:before="156" w:after="156"/>
              <w:rPr>
                <w:color w:val="auto"/>
              </w:rPr>
            </w:pPr>
            <w:r>
              <w:rPr>
                <w:rFonts w:hint="eastAsia"/>
                <w:color w:val="auto"/>
              </w:rPr>
              <w:t>1.6产业政策符合性分析</w:t>
            </w:r>
          </w:p>
          <w:p>
            <w:pPr>
              <w:pStyle w:val="47"/>
              <w:rPr>
                <w:color w:val="auto"/>
              </w:rPr>
            </w:pPr>
            <w:r>
              <w:rPr>
                <w:color w:val="auto"/>
              </w:rPr>
              <w:t>本项目的建设属于《产业结构调整指导目录（2019 年本）》“第一类鼓励类”中“十四机械”中的第 6 条“工业 CT、三维超声波探伤仪等无损检测设备”，属于国家鼓励类产业，项目符合国家产业政策</w:t>
            </w:r>
            <w:r>
              <w:rPr>
                <w:rFonts w:hint="eastAsia"/>
                <w:color w:val="auto"/>
              </w:rPr>
              <w:t>。</w:t>
            </w:r>
          </w:p>
          <w:p>
            <w:pPr>
              <w:pStyle w:val="45"/>
              <w:spacing w:before="156" w:after="156"/>
              <w:rPr>
                <w:color w:val="auto"/>
              </w:rPr>
            </w:pPr>
            <w:r>
              <w:rPr>
                <w:rFonts w:hint="eastAsia"/>
                <w:color w:val="auto"/>
              </w:rPr>
              <w:t>1.7实践正当性分析</w:t>
            </w:r>
          </w:p>
          <w:p>
            <w:pPr>
              <w:pStyle w:val="47"/>
              <w:rPr>
                <w:color w:val="auto"/>
              </w:rPr>
            </w:pPr>
            <w:r>
              <w:rPr>
                <w:color w:val="auto"/>
              </w:rPr>
              <w:t xml:space="preserve">X 射线探伤是利用X射线能够穿透金属材料，并由于材料对射线的吸收和散射作用的不同形成黑度不同的影像，据此来判断材料内部缺陷情况。 </w:t>
            </w:r>
          </w:p>
          <w:p>
            <w:pPr>
              <w:pStyle w:val="47"/>
              <w:rPr>
                <w:color w:val="auto"/>
              </w:rPr>
            </w:pPr>
            <w:r>
              <w:rPr>
                <w:color w:val="auto"/>
              </w:rPr>
              <w:t>本项目的建设是为了满足</w:t>
            </w:r>
            <w:r>
              <w:rPr>
                <w:rFonts w:hint="eastAsia"/>
                <w:color w:val="auto"/>
                <w:lang w:val="en-US" w:eastAsia="zh-CN"/>
              </w:rPr>
              <w:t>螺旋管</w:t>
            </w:r>
            <w:r>
              <w:rPr>
                <w:color w:val="auto"/>
              </w:rPr>
              <w:t>生产要求，采用X射线探伤的目的是为了实现对工件</w:t>
            </w:r>
            <w:r>
              <w:rPr>
                <w:rFonts w:hint="eastAsia"/>
                <w:color w:val="auto"/>
                <w:lang w:val="en-US" w:eastAsia="zh-CN"/>
              </w:rPr>
              <w:t>焊缝</w:t>
            </w:r>
            <w:r>
              <w:rPr>
                <w:color w:val="auto"/>
              </w:rPr>
              <w:t>的无损检测，确保产品质量、使用安全，且</w:t>
            </w:r>
            <w:r>
              <w:rPr>
                <w:rFonts w:hint="eastAsia"/>
                <w:color w:val="auto"/>
              </w:rPr>
              <w:t>本项目</w:t>
            </w:r>
            <w:r>
              <w:rPr>
                <w:color w:val="auto"/>
              </w:rPr>
              <w:t>探伤室的防护性能符合国家相关标准，使得设备的使用对环境的辐射影响小于它带来的社会效益和经济效益，因此项目开展所带来的利益是大于所付出的代价，符合辐射防护</w:t>
            </w:r>
            <w:r>
              <w:rPr>
                <w:rFonts w:hint="eastAsia"/>
                <w:color w:val="auto"/>
              </w:rPr>
              <w:t>“</w:t>
            </w:r>
            <w:r>
              <w:rPr>
                <w:color w:val="auto"/>
              </w:rPr>
              <w:t>实践的正当性</w:t>
            </w:r>
            <w:r>
              <w:rPr>
                <w:rFonts w:hint="eastAsia"/>
                <w:color w:val="auto"/>
              </w:rPr>
              <w:t>”</w:t>
            </w:r>
            <w:r>
              <w:rPr>
                <w:color w:val="auto"/>
              </w:rPr>
              <w:t>原则。综上所述，本项目使用X射线探伤机作无损检测是正当可行的</w:t>
            </w:r>
            <w:r>
              <w:rPr>
                <w:rFonts w:hint="eastAsia"/>
                <w:color w:val="auto"/>
              </w:rPr>
              <w:t>。</w:t>
            </w:r>
          </w:p>
          <w:p>
            <w:pPr>
              <w:pStyle w:val="45"/>
              <w:spacing w:before="156" w:after="156"/>
              <w:rPr>
                <w:color w:val="auto"/>
              </w:rPr>
            </w:pPr>
            <w:r>
              <w:rPr>
                <w:rFonts w:hint="eastAsia"/>
                <w:color w:val="auto"/>
              </w:rPr>
              <w:t>1.5</w:t>
            </w:r>
            <w:r>
              <w:rPr>
                <w:color w:val="auto"/>
              </w:rPr>
              <w:t>保护目标、评价因子及评价目的</w:t>
            </w:r>
          </w:p>
          <w:p>
            <w:pPr>
              <w:pStyle w:val="47"/>
              <w:rPr>
                <w:color w:val="auto"/>
              </w:rPr>
            </w:pPr>
            <w:r>
              <w:rPr>
                <w:rFonts w:hint="eastAsia"/>
                <w:color w:val="auto"/>
              </w:rPr>
              <w:t>（1）保护目标</w:t>
            </w:r>
          </w:p>
          <w:p>
            <w:pPr>
              <w:pStyle w:val="47"/>
              <w:rPr>
                <w:color w:val="auto"/>
              </w:rPr>
            </w:pPr>
            <w:r>
              <w:rPr>
                <w:color w:val="auto"/>
              </w:rPr>
              <w:t>本项目环境敏感点确定为X射线装置工作场所周围的辐射工作人员和公众成员。</w:t>
            </w:r>
          </w:p>
          <w:p>
            <w:pPr>
              <w:pStyle w:val="47"/>
              <w:rPr>
                <w:color w:val="auto"/>
              </w:rPr>
            </w:pPr>
            <w:r>
              <w:rPr>
                <w:rFonts w:hint="eastAsia"/>
                <w:color w:val="auto"/>
              </w:rPr>
              <w:t>（2）评价因子</w:t>
            </w:r>
          </w:p>
          <w:p>
            <w:pPr>
              <w:pStyle w:val="47"/>
              <w:rPr>
                <w:color w:val="auto"/>
              </w:rPr>
            </w:pPr>
            <w:r>
              <w:rPr>
                <w:color w:val="auto"/>
              </w:rPr>
              <w:t>根据本次评价的项目特点及项目实际情况，本项目主要环境影响为X射线、臭氧</w:t>
            </w:r>
            <w:r>
              <w:rPr>
                <w:rFonts w:hint="eastAsia"/>
                <w:color w:val="auto"/>
              </w:rPr>
              <w:t>、氮氧化物</w:t>
            </w:r>
            <w:r>
              <w:rPr>
                <w:color w:val="auto"/>
              </w:rPr>
              <w:t>等。本项目评价因子主要为X射线。</w:t>
            </w:r>
          </w:p>
          <w:p>
            <w:pPr>
              <w:pStyle w:val="47"/>
              <w:rPr>
                <w:color w:val="auto"/>
              </w:rPr>
            </w:pPr>
            <w:r>
              <w:rPr>
                <w:color w:val="auto"/>
              </w:rPr>
              <w:t>（</w:t>
            </w:r>
            <w:r>
              <w:rPr>
                <w:rFonts w:hint="eastAsia"/>
                <w:color w:val="auto"/>
              </w:rPr>
              <w:t>3</w:t>
            </w:r>
            <w:r>
              <w:rPr>
                <w:color w:val="auto"/>
              </w:rPr>
              <w:t>）评价目的</w:t>
            </w:r>
          </w:p>
          <w:p>
            <w:pPr>
              <w:pStyle w:val="47"/>
              <w:rPr>
                <w:color w:val="auto"/>
              </w:rPr>
            </w:pPr>
            <w:r>
              <w:rPr>
                <w:rFonts w:hint="eastAsia"/>
                <w:color w:val="auto"/>
              </w:rPr>
              <w:t>①满足国家和地方生态环境部门对建设项目环境管理规定的要求；</w:t>
            </w:r>
          </w:p>
          <w:p>
            <w:pPr>
              <w:pStyle w:val="47"/>
              <w:rPr>
                <w:color w:val="auto"/>
              </w:rPr>
            </w:pPr>
            <w:r>
              <w:rPr>
                <w:rFonts w:hint="eastAsia"/>
                <w:color w:val="auto"/>
              </w:rPr>
              <w:t>②对项目所处地区环境的现状调查、监测，掌握评价区域内的辐射环境质量现状和环境功能概况，分析评价本项目的主要污染源，论证环保措施可行性和合理性，提出切实可行的辐射防护措施和建议；</w:t>
            </w:r>
          </w:p>
          <w:p>
            <w:pPr>
              <w:pStyle w:val="47"/>
              <w:rPr>
                <w:color w:val="auto"/>
              </w:rPr>
            </w:pPr>
            <w:r>
              <w:rPr>
                <w:rFonts w:hint="eastAsia"/>
                <w:color w:val="auto"/>
              </w:rPr>
              <w:t>③根据国家核技术利用项目的有关标准和规范，对公司核技术利用项目进行辐射环境影响评价；</w:t>
            </w:r>
          </w:p>
          <w:p>
            <w:pPr>
              <w:pStyle w:val="47"/>
              <w:rPr>
                <w:color w:val="auto"/>
              </w:rPr>
            </w:pPr>
            <w:r>
              <w:rPr>
                <w:rFonts w:hint="eastAsia"/>
                <w:color w:val="auto"/>
              </w:rPr>
              <w:t>④对该项目存在的不利影响提出污染防治措施，以减少辐射环境影响；</w:t>
            </w:r>
          </w:p>
          <w:p>
            <w:pPr>
              <w:pStyle w:val="47"/>
              <w:rPr>
                <w:color w:val="auto"/>
              </w:rPr>
            </w:pPr>
            <w:r>
              <w:rPr>
                <w:rFonts w:hint="eastAsia"/>
                <w:color w:val="auto"/>
              </w:rPr>
              <w:t>⑤从环保角度提出该项目是否可行的明确结论，为行政主管部门审批和监管提供科学依据。</w:t>
            </w:r>
          </w:p>
        </w:tc>
      </w:tr>
    </w:tbl>
    <w:p>
      <w:pPr>
        <w:rPr>
          <w:color w:val="auto"/>
        </w:rPr>
        <w:sectPr>
          <w:footerReference r:id="rId5" w:type="default"/>
          <w:pgSz w:w="11906" w:h="16838"/>
          <w:pgMar w:top="1440" w:right="1800" w:bottom="1440" w:left="1800" w:header="851" w:footer="992" w:gutter="0"/>
          <w:pgNumType w:start="1"/>
          <w:cols w:space="720" w:num="1"/>
          <w:docGrid w:type="lines" w:linePitch="312" w:charSpace="0"/>
        </w:sectPr>
      </w:pPr>
    </w:p>
    <w:p>
      <w:pPr>
        <w:pStyle w:val="51"/>
        <w:rPr>
          <w:color w:val="auto"/>
        </w:rPr>
      </w:pPr>
      <w:bookmarkStart w:id="2" w:name="_Toc25210"/>
      <w:r>
        <w:rPr>
          <w:rFonts w:hint="eastAsia"/>
          <w:color w:val="auto"/>
        </w:rPr>
        <w:t>表2放射源</w:t>
      </w:r>
      <w:bookmarkEnd w:id="2"/>
    </w:p>
    <w:tbl>
      <w:tblPr>
        <w:tblStyle w:val="23"/>
        <w:tblW w:w="143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1701"/>
        <w:gridCol w:w="2835"/>
        <w:gridCol w:w="1559"/>
        <w:gridCol w:w="1701"/>
        <w:gridCol w:w="1134"/>
        <w:gridCol w:w="1985"/>
        <w:gridCol w:w="1559"/>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846" w:type="dxa"/>
            <w:noWrap w:val="0"/>
            <w:vAlign w:val="center"/>
          </w:tcPr>
          <w:p>
            <w:pPr>
              <w:pStyle w:val="51"/>
              <w:jc w:val="center"/>
              <w:outlineLvl w:val="9"/>
              <w:rPr>
                <w:b w:val="0"/>
                <w:color w:val="auto"/>
                <w:sz w:val="24"/>
              </w:rPr>
            </w:pPr>
            <w:bookmarkStart w:id="3" w:name="_Toc25116"/>
            <w:r>
              <w:rPr>
                <w:rFonts w:hint="eastAsia"/>
                <w:b w:val="0"/>
                <w:color w:val="auto"/>
                <w:sz w:val="24"/>
              </w:rPr>
              <w:t>序号</w:t>
            </w:r>
            <w:bookmarkEnd w:id="3"/>
          </w:p>
        </w:tc>
        <w:tc>
          <w:tcPr>
            <w:tcW w:w="1701" w:type="dxa"/>
            <w:noWrap w:val="0"/>
            <w:vAlign w:val="center"/>
          </w:tcPr>
          <w:p>
            <w:pPr>
              <w:pStyle w:val="51"/>
              <w:jc w:val="center"/>
              <w:outlineLvl w:val="9"/>
              <w:rPr>
                <w:b w:val="0"/>
                <w:color w:val="auto"/>
                <w:sz w:val="24"/>
              </w:rPr>
            </w:pPr>
            <w:bookmarkStart w:id="4" w:name="_Toc19012"/>
            <w:r>
              <w:rPr>
                <w:rFonts w:hint="eastAsia"/>
                <w:b w:val="0"/>
                <w:color w:val="auto"/>
                <w:sz w:val="24"/>
              </w:rPr>
              <w:t>核素</w:t>
            </w:r>
            <w:r>
              <w:rPr>
                <w:b w:val="0"/>
                <w:color w:val="auto"/>
                <w:sz w:val="24"/>
              </w:rPr>
              <w:t>名称</w:t>
            </w:r>
            <w:bookmarkEnd w:id="4"/>
          </w:p>
        </w:tc>
        <w:tc>
          <w:tcPr>
            <w:tcW w:w="2835" w:type="dxa"/>
            <w:noWrap w:val="0"/>
            <w:vAlign w:val="center"/>
          </w:tcPr>
          <w:p>
            <w:pPr>
              <w:pStyle w:val="51"/>
              <w:jc w:val="center"/>
              <w:outlineLvl w:val="9"/>
              <w:rPr>
                <w:b w:val="0"/>
                <w:color w:val="auto"/>
                <w:sz w:val="24"/>
              </w:rPr>
            </w:pPr>
            <w:bookmarkStart w:id="5" w:name="_Toc19987"/>
            <w:r>
              <w:rPr>
                <w:rFonts w:hint="eastAsia"/>
                <w:b w:val="0"/>
                <w:color w:val="auto"/>
                <w:sz w:val="24"/>
              </w:rPr>
              <w:t>总活度（Bq）/</w:t>
            </w:r>
            <w:bookmarkEnd w:id="5"/>
          </w:p>
          <w:p>
            <w:pPr>
              <w:pStyle w:val="51"/>
              <w:jc w:val="center"/>
              <w:outlineLvl w:val="9"/>
              <w:rPr>
                <w:b w:val="0"/>
                <w:color w:val="auto"/>
                <w:sz w:val="24"/>
              </w:rPr>
            </w:pPr>
            <w:bookmarkStart w:id="6" w:name="_Toc31105"/>
            <w:r>
              <w:rPr>
                <w:rFonts w:hint="eastAsia"/>
                <w:b w:val="0"/>
                <w:color w:val="auto"/>
                <w:sz w:val="24"/>
              </w:rPr>
              <w:t>活度（Bq）×枚数</w:t>
            </w:r>
            <w:bookmarkEnd w:id="6"/>
          </w:p>
        </w:tc>
        <w:tc>
          <w:tcPr>
            <w:tcW w:w="1559" w:type="dxa"/>
            <w:noWrap w:val="0"/>
            <w:vAlign w:val="center"/>
          </w:tcPr>
          <w:p>
            <w:pPr>
              <w:pStyle w:val="51"/>
              <w:jc w:val="center"/>
              <w:outlineLvl w:val="9"/>
              <w:rPr>
                <w:b w:val="0"/>
                <w:color w:val="auto"/>
                <w:sz w:val="24"/>
              </w:rPr>
            </w:pPr>
            <w:bookmarkStart w:id="7" w:name="_Toc20374"/>
            <w:r>
              <w:rPr>
                <w:rFonts w:hint="eastAsia"/>
                <w:b w:val="0"/>
                <w:color w:val="auto"/>
                <w:sz w:val="24"/>
              </w:rPr>
              <w:t>类别</w:t>
            </w:r>
            <w:bookmarkEnd w:id="7"/>
          </w:p>
        </w:tc>
        <w:tc>
          <w:tcPr>
            <w:tcW w:w="1701" w:type="dxa"/>
            <w:noWrap w:val="0"/>
            <w:vAlign w:val="center"/>
          </w:tcPr>
          <w:p>
            <w:pPr>
              <w:pStyle w:val="51"/>
              <w:jc w:val="center"/>
              <w:outlineLvl w:val="9"/>
              <w:rPr>
                <w:b w:val="0"/>
                <w:color w:val="auto"/>
                <w:sz w:val="24"/>
              </w:rPr>
            </w:pPr>
            <w:bookmarkStart w:id="8" w:name="_Toc3431"/>
            <w:r>
              <w:rPr>
                <w:rFonts w:hint="eastAsia"/>
                <w:b w:val="0"/>
                <w:color w:val="auto"/>
                <w:sz w:val="24"/>
              </w:rPr>
              <w:t>活动</w:t>
            </w:r>
            <w:r>
              <w:rPr>
                <w:b w:val="0"/>
                <w:color w:val="auto"/>
                <w:sz w:val="24"/>
              </w:rPr>
              <w:t>种类</w:t>
            </w:r>
            <w:bookmarkEnd w:id="8"/>
          </w:p>
        </w:tc>
        <w:tc>
          <w:tcPr>
            <w:tcW w:w="1134" w:type="dxa"/>
            <w:noWrap w:val="0"/>
            <w:vAlign w:val="center"/>
          </w:tcPr>
          <w:p>
            <w:pPr>
              <w:pStyle w:val="51"/>
              <w:jc w:val="center"/>
              <w:outlineLvl w:val="9"/>
              <w:rPr>
                <w:b w:val="0"/>
                <w:color w:val="auto"/>
                <w:sz w:val="24"/>
              </w:rPr>
            </w:pPr>
            <w:bookmarkStart w:id="9" w:name="_Toc30778"/>
            <w:r>
              <w:rPr>
                <w:rFonts w:hint="eastAsia"/>
                <w:b w:val="0"/>
                <w:color w:val="auto"/>
                <w:sz w:val="24"/>
              </w:rPr>
              <w:t>用途</w:t>
            </w:r>
            <w:bookmarkEnd w:id="9"/>
          </w:p>
        </w:tc>
        <w:tc>
          <w:tcPr>
            <w:tcW w:w="1985" w:type="dxa"/>
            <w:noWrap w:val="0"/>
            <w:vAlign w:val="center"/>
          </w:tcPr>
          <w:p>
            <w:pPr>
              <w:pStyle w:val="51"/>
              <w:jc w:val="center"/>
              <w:outlineLvl w:val="9"/>
              <w:rPr>
                <w:b w:val="0"/>
                <w:color w:val="auto"/>
                <w:sz w:val="24"/>
              </w:rPr>
            </w:pPr>
            <w:bookmarkStart w:id="10" w:name="_Toc23969"/>
            <w:r>
              <w:rPr>
                <w:rFonts w:hint="eastAsia"/>
                <w:b w:val="0"/>
                <w:color w:val="auto"/>
                <w:sz w:val="24"/>
              </w:rPr>
              <w:t>使用</w:t>
            </w:r>
            <w:r>
              <w:rPr>
                <w:b w:val="0"/>
                <w:color w:val="auto"/>
                <w:sz w:val="24"/>
              </w:rPr>
              <w:t>场所</w:t>
            </w:r>
            <w:bookmarkEnd w:id="10"/>
          </w:p>
        </w:tc>
        <w:tc>
          <w:tcPr>
            <w:tcW w:w="1559" w:type="dxa"/>
            <w:noWrap w:val="0"/>
            <w:vAlign w:val="center"/>
          </w:tcPr>
          <w:p>
            <w:pPr>
              <w:pStyle w:val="51"/>
              <w:jc w:val="center"/>
              <w:outlineLvl w:val="9"/>
              <w:rPr>
                <w:b w:val="0"/>
                <w:color w:val="auto"/>
                <w:sz w:val="24"/>
              </w:rPr>
            </w:pPr>
            <w:bookmarkStart w:id="11" w:name="_Toc17335"/>
            <w:r>
              <w:rPr>
                <w:rFonts w:hint="eastAsia"/>
                <w:b w:val="0"/>
                <w:color w:val="auto"/>
                <w:sz w:val="24"/>
              </w:rPr>
              <w:t>贮存</w:t>
            </w:r>
            <w:r>
              <w:rPr>
                <w:b w:val="0"/>
                <w:color w:val="auto"/>
                <w:sz w:val="24"/>
              </w:rPr>
              <w:t>方式</w:t>
            </w:r>
            <w:r>
              <w:rPr>
                <w:rFonts w:hint="eastAsia"/>
                <w:b w:val="0"/>
                <w:color w:val="auto"/>
                <w:sz w:val="24"/>
              </w:rPr>
              <w:t>与</w:t>
            </w:r>
            <w:r>
              <w:rPr>
                <w:b w:val="0"/>
                <w:color w:val="auto"/>
                <w:sz w:val="24"/>
              </w:rPr>
              <w:t>地点</w:t>
            </w:r>
            <w:bookmarkEnd w:id="11"/>
          </w:p>
        </w:tc>
        <w:tc>
          <w:tcPr>
            <w:tcW w:w="992" w:type="dxa"/>
            <w:noWrap w:val="0"/>
            <w:vAlign w:val="center"/>
          </w:tcPr>
          <w:p>
            <w:pPr>
              <w:pStyle w:val="51"/>
              <w:jc w:val="center"/>
              <w:outlineLvl w:val="9"/>
              <w:rPr>
                <w:b w:val="0"/>
                <w:color w:val="auto"/>
                <w:sz w:val="24"/>
              </w:rPr>
            </w:pPr>
            <w:bookmarkStart w:id="12" w:name="_Toc30402"/>
            <w:r>
              <w:rPr>
                <w:rFonts w:hint="eastAsia"/>
                <w:b w:val="0"/>
                <w:color w:val="auto"/>
                <w:sz w:val="24"/>
              </w:rPr>
              <w:t>备注</w:t>
            </w:r>
            <w:bookmarkEnd w:id="12"/>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846" w:type="dxa"/>
            <w:noWrap w:val="0"/>
            <w:vAlign w:val="center"/>
          </w:tcPr>
          <w:p>
            <w:pPr>
              <w:pStyle w:val="51"/>
              <w:jc w:val="center"/>
              <w:outlineLvl w:val="9"/>
              <w:rPr>
                <w:b w:val="0"/>
                <w:color w:val="auto"/>
                <w:sz w:val="24"/>
              </w:rPr>
            </w:pPr>
            <w:bookmarkStart w:id="13" w:name="_Toc29999"/>
            <w:r>
              <w:rPr>
                <w:rFonts w:hint="eastAsia"/>
                <w:b w:val="0"/>
                <w:color w:val="auto"/>
                <w:sz w:val="24"/>
              </w:rPr>
              <w:t>/</w:t>
            </w:r>
            <w:bookmarkEnd w:id="13"/>
          </w:p>
        </w:tc>
        <w:tc>
          <w:tcPr>
            <w:tcW w:w="1701" w:type="dxa"/>
            <w:noWrap w:val="0"/>
            <w:vAlign w:val="center"/>
          </w:tcPr>
          <w:p>
            <w:pPr>
              <w:pStyle w:val="51"/>
              <w:jc w:val="center"/>
              <w:outlineLvl w:val="9"/>
              <w:rPr>
                <w:b w:val="0"/>
                <w:color w:val="auto"/>
                <w:sz w:val="24"/>
              </w:rPr>
            </w:pPr>
            <w:bookmarkStart w:id="14" w:name="_Toc7405"/>
            <w:r>
              <w:rPr>
                <w:rFonts w:hint="eastAsia"/>
                <w:b w:val="0"/>
                <w:color w:val="auto"/>
                <w:sz w:val="24"/>
              </w:rPr>
              <w:t>/</w:t>
            </w:r>
            <w:bookmarkEnd w:id="14"/>
          </w:p>
        </w:tc>
        <w:tc>
          <w:tcPr>
            <w:tcW w:w="2835" w:type="dxa"/>
            <w:noWrap w:val="0"/>
            <w:vAlign w:val="center"/>
          </w:tcPr>
          <w:p>
            <w:pPr>
              <w:pStyle w:val="51"/>
              <w:jc w:val="center"/>
              <w:outlineLvl w:val="9"/>
              <w:rPr>
                <w:b w:val="0"/>
                <w:color w:val="auto"/>
                <w:sz w:val="24"/>
              </w:rPr>
            </w:pPr>
            <w:bookmarkStart w:id="15" w:name="_Toc16278"/>
            <w:r>
              <w:rPr>
                <w:rFonts w:hint="eastAsia"/>
                <w:b w:val="0"/>
                <w:color w:val="auto"/>
                <w:sz w:val="24"/>
              </w:rPr>
              <w:t>/</w:t>
            </w:r>
            <w:bookmarkEnd w:id="15"/>
          </w:p>
        </w:tc>
        <w:tc>
          <w:tcPr>
            <w:tcW w:w="1559" w:type="dxa"/>
            <w:noWrap w:val="0"/>
            <w:vAlign w:val="center"/>
          </w:tcPr>
          <w:p>
            <w:pPr>
              <w:pStyle w:val="51"/>
              <w:jc w:val="center"/>
              <w:outlineLvl w:val="9"/>
              <w:rPr>
                <w:b w:val="0"/>
                <w:color w:val="auto"/>
                <w:sz w:val="24"/>
              </w:rPr>
            </w:pPr>
            <w:bookmarkStart w:id="16" w:name="_Toc16670"/>
            <w:r>
              <w:rPr>
                <w:rFonts w:hint="eastAsia"/>
                <w:b w:val="0"/>
                <w:color w:val="auto"/>
                <w:sz w:val="24"/>
              </w:rPr>
              <w:t>/</w:t>
            </w:r>
            <w:bookmarkEnd w:id="16"/>
          </w:p>
        </w:tc>
        <w:tc>
          <w:tcPr>
            <w:tcW w:w="1701" w:type="dxa"/>
            <w:noWrap w:val="0"/>
            <w:vAlign w:val="center"/>
          </w:tcPr>
          <w:p>
            <w:pPr>
              <w:pStyle w:val="51"/>
              <w:jc w:val="center"/>
              <w:outlineLvl w:val="9"/>
              <w:rPr>
                <w:b w:val="0"/>
                <w:color w:val="auto"/>
                <w:sz w:val="24"/>
              </w:rPr>
            </w:pPr>
          </w:p>
        </w:tc>
        <w:tc>
          <w:tcPr>
            <w:tcW w:w="1134" w:type="dxa"/>
            <w:noWrap w:val="0"/>
            <w:vAlign w:val="center"/>
          </w:tcPr>
          <w:p>
            <w:pPr>
              <w:pStyle w:val="51"/>
              <w:jc w:val="center"/>
              <w:outlineLvl w:val="9"/>
              <w:rPr>
                <w:b w:val="0"/>
                <w:color w:val="auto"/>
                <w:sz w:val="24"/>
              </w:rPr>
            </w:pPr>
            <w:bookmarkStart w:id="17" w:name="_Toc6764"/>
            <w:r>
              <w:rPr>
                <w:rFonts w:hint="eastAsia"/>
                <w:b w:val="0"/>
                <w:color w:val="auto"/>
                <w:sz w:val="24"/>
              </w:rPr>
              <w:t>/</w:t>
            </w:r>
            <w:bookmarkEnd w:id="17"/>
          </w:p>
        </w:tc>
        <w:tc>
          <w:tcPr>
            <w:tcW w:w="1985" w:type="dxa"/>
            <w:noWrap w:val="0"/>
            <w:vAlign w:val="center"/>
          </w:tcPr>
          <w:p>
            <w:pPr>
              <w:pStyle w:val="51"/>
              <w:jc w:val="center"/>
              <w:outlineLvl w:val="9"/>
              <w:rPr>
                <w:b w:val="0"/>
                <w:color w:val="auto"/>
                <w:sz w:val="24"/>
              </w:rPr>
            </w:pPr>
            <w:bookmarkStart w:id="18" w:name="_Toc25988"/>
            <w:r>
              <w:rPr>
                <w:rFonts w:hint="eastAsia"/>
                <w:b w:val="0"/>
                <w:color w:val="auto"/>
                <w:sz w:val="24"/>
              </w:rPr>
              <w:t>/</w:t>
            </w:r>
            <w:bookmarkEnd w:id="18"/>
          </w:p>
        </w:tc>
        <w:tc>
          <w:tcPr>
            <w:tcW w:w="1559" w:type="dxa"/>
            <w:noWrap w:val="0"/>
            <w:vAlign w:val="center"/>
          </w:tcPr>
          <w:p>
            <w:pPr>
              <w:pStyle w:val="51"/>
              <w:jc w:val="center"/>
              <w:outlineLvl w:val="9"/>
              <w:rPr>
                <w:b w:val="0"/>
                <w:color w:val="auto"/>
                <w:sz w:val="24"/>
              </w:rPr>
            </w:pPr>
            <w:bookmarkStart w:id="19" w:name="_Toc27938"/>
            <w:r>
              <w:rPr>
                <w:rFonts w:hint="eastAsia"/>
                <w:b w:val="0"/>
                <w:color w:val="auto"/>
                <w:sz w:val="24"/>
              </w:rPr>
              <w:t>/</w:t>
            </w:r>
            <w:bookmarkEnd w:id="19"/>
          </w:p>
        </w:tc>
        <w:tc>
          <w:tcPr>
            <w:tcW w:w="992" w:type="dxa"/>
            <w:noWrap w:val="0"/>
            <w:vAlign w:val="center"/>
          </w:tcPr>
          <w:p>
            <w:pPr>
              <w:pStyle w:val="51"/>
              <w:jc w:val="center"/>
              <w:outlineLvl w:val="9"/>
              <w:rPr>
                <w:b w:val="0"/>
                <w:color w:val="auto"/>
                <w:sz w:val="24"/>
              </w:rPr>
            </w:pPr>
            <w:bookmarkStart w:id="20" w:name="_Toc4545"/>
            <w:r>
              <w:rPr>
                <w:rFonts w:hint="eastAsia"/>
                <w:b w:val="0"/>
                <w:color w:val="auto"/>
                <w:sz w:val="24"/>
              </w:rPr>
              <w:t>/</w:t>
            </w:r>
            <w:bookmarkEnd w:id="2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846" w:type="dxa"/>
            <w:noWrap w:val="0"/>
            <w:vAlign w:val="center"/>
          </w:tcPr>
          <w:p>
            <w:pPr>
              <w:pStyle w:val="51"/>
              <w:jc w:val="center"/>
              <w:outlineLvl w:val="9"/>
              <w:rPr>
                <w:b w:val="0"/>
                <w:color w:val="auto"/>
                <w:sz w:val="24"/>
              </w:rPr>
            </w:pPr>
          </w:p>
        </w:tc>
        <w:tc>
          <w:tcPr>
            <w:tcW w:w="1701" w:type="dxa"/>
            <w:noWrap w:val="0"/>
            <w:vAlign w:val="center"/>
          </w:tcPr>
          <w:p>
            <w:pPr>
              <w:pStyle w:val="51"/>
              <w:jc w:val="center"/>
              <w:outlineLvl w:val="9"/>
              <w:rPr>
                <w:b w:val="0"/>
                <w:color w:val="auto"/>
                <w:sz w:val="24"/>
              </w:rPr>
            </w:pPr>
            <w:bookmarkStart w:id="21" w:name="_Toc20203"/>
            <w:r>
              <w:rPr>
                <w:rFonts w:hint="eastAsia"/>
                <w:b w:val="0"/>
                <w:color w:val="auto"/>
                <w:sz w:val="24"/>
              </w:rPr>
              <w:t>以下空白</w:t>
            </w:r>
            <w:bookmarkEnd w:id="21"/>
          </w:p>
        </w:tc>
        <w:tc>
          <w:tcPr>
            <w:tcW w:w="2835" w:type="dxa"/>
            <w:noWrap w:val="0"/>
            <w:vAlign w:val="center"/>
          </w:tcPr>
          <w:p>
            <w:pPr>
              <w:pStyle w:val="51"/>
              <w:jc w:val="center"/>
              <w:outlineLvl w:val="9"/>
              <w:rPr>
                <w:b w:val="0"/>
                <w:color w:val="auto"/>
                <w:sz w:val="24"/>
              </w:rPr>
            </w:pPr>
          </w:p>
        </w:tc>
        <w:tc>
          <w:tcPr>
            <w:tcW w:w="1559" w:type="dxa"/>
            <w:noWrap w:val="0"/>
            <w:vAlign w:val="center"/>
          </w:tcPr>
          <w:p>
            <w:pPr>
              <w:pStyle w:val="51"/>
              <w:jc w:val="center"/>
              <w:outlineLvl w:val="9"/>
              <w:rPr>
                <w:b w:val="0"/>
                <w:color w:val="auto"/>
                <w:sz w:val="24"/>
              </w:rPr>
            </w:pPr>
          </w:p>
        </w:tc>
        <w:tc>
          <w:tcPr>
            <w:tcW w:w="1701" w:type="dxa"/>
            <w:noWrap w:val="0"/>
            <w:vAlign w:val="center"/>
          </w:tcPr>
          <w:p>
            <w:pPr>
              <w:pStyle w:val="51"/>
              <w:jc w:val="center"/>
              <w:outlineLvl w:val="9"/>
              <w:rPr>
                <w:b w:val="0"/>
                <w:color w:val="auto"/>
                <w:sz w:val="24"/>
              </w:rPr>
            </w:pPr>
          </w:p>
        </w:tc>
        <w:tc>
          <w:tcPr>
            <w:tcW w:w="1134" w:type="dxa"/>
            <w:noWrap w:val="0"/>
            <w:vAlign w:val="center"/>
          </w:tcPr>
          <w:p>
            <w:pPr>
              <w:pStyle w:val="51"/>
              <w:jc w:val="center"/>
              <w:outlineLvl w:val="9"/>
              <w:rPr>
                <w:b w:val="0"/>
                <w:color w:val="auto"/>
                <w:sz w:val="24"/>
              </w:rPr>
            </w:pPr>
          </w:p>
        </w:tc>
        <w:tc>
          <w:tcPr>
            <w:tcW w:w="1985" w:type="dxa"/>
            <w:noWrap w:val="0"/>
            <w:vAlign w:val="center"/>
          </w:tcPr>
          <w:p>
            <w:pPr>
              <w:pStyle w:val="51"/>
              <w:jc w:val="center"/>
              <w:outlineLvl w:val="9"/>
              <w:rPr>
                <w:b w:val="0"/>
                <w:color w:val="auto"/>
                <w:sz w:val="24"/>
              </w:rPr>
            </w:pPr>
          </w:p>
        </w:tc>
        <w:tc>
          <w:tcPr>
            <w:tcW w:w="1559" w:type="dxa"/>
            <w:noWrap w:val="0"/>
            <w:vAlign w:val="center"/>
          </w:tcPr>
          <w:p>
            <w:pPr>
              <w:pStyle w:val="51"/>
              <w:jc w:val="center"/>
              <w:outlineLvl w:val="9"/>
              <w:rPr>
                <w:b w:val="0"/>
                <w:color w:val="auto"/>
                <w:sz w:val="24"/>
              </w:rPr>
            </w:pPr>
          </w:p>
        </w:tc>
        <w:tc>
          <w:tcPr>
            <w:tcW w:w="992" w:type="dxa"/>
            <w:noWrap w:val="0"/>
            <w:vAlign w:val="center"/>
          </w:tcPr>
          <w:p>
            <w:pPr>
              <w:pStyle w:val="51"/>
              <w:jc w:val="center"/>
              <w:outlineLvl w:val="9"/>
              <w:rPr>
                <w:b w:val="0"/>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846" w:type="dxa"/>
            <w:noWrap w:val="0"/>
            <w:vAlign w:val="center"/>
          </w:tcPr>
          <w:p>
            <w:pPr>
              <w:pStyle w:val="51"/>
              <w:jc w:val="center"/>
              <w:outlineLvl w:val="9"/>
              <w:rPr>
                <w:b w:val="0"/>
                <w:color w:val="auto"/>
                <w:sz w:val="24"/>
              </w:rPr>
            </w:pPr>
          </w:p>
        </w:tc>
        <w:tc>
          <w:tcPr>
            <w:tcW w:w="1701" w:type="dxa"/>
            <w:noWrap w:val="0"/>
            <w:vAlign w:val="center"/>
          </w:tcPr>
          <w:p>
            <w:pPr>
              <w:pStyle w:val="51"/>
              <w:jc w:val="center"/>
              <w:outlineLvl w:val="9"/>
              <w:rPr>
                <w:b w:val="0"/>
                <w:color w:val="auto"/>
                <w:sz w:val="24"/>
              </w:rPr>
            </w:pPr>
          </w:p>
        </w:tc>
        <w:tc>
          <w:tcPr>
            <w:tcW w:w="2835" w:type="dxa"/>
            <w:noWrap w:val="0"/>
            <w:vAlign w:val="center"/>
          </w:tcPr>
          <w:p>
            <w:pPr>
              <w:pStyle w:val="51"/>
              <w:jc w:val="center"/>
              <w:outlineLvl w:val="9"/>
              <w:rPr>
                <w:b w:val="0"/>
                <w:color w:val="auto"/>
                <w:sz w:val="24"/>
              </w:rPr>
            </w:pPr>
          </w:p>
        </w:tc>
        <w:tc>
          <w:tcPr>
            <w:tcW w:w="1559" w:type="dxa"/>
            <w:noWrap w:val="0"/>
            <w:vAlign w:val="center"/>
          </w:tcPr>
          <w:p>
            <w:pPr>
              <w:pStyle w:val="51"/>
              <w:jc w:val="center"/>
              <w:outlineLvl w:val="9"/>
              <w:rPr>
                <w:b w:val="0"/>
                <w:color w:val="auto"/>
                <w:sz w:val="24"/>
              </w:rPr>
            </w:pPr>
          </w:p>
        </w:tc>
        <w:tc>
          <w:tcPr>
            <w:tcW w:w="1701" w:type="dxa"/>
            <w:noWrap w:val="0"/>
            <w:vAlign w:val="center"/>
          </w:tcPr>
          <w:p>
            <w:pPr>
              <w:pStyle w:val="51"/>
              <w:jc w:val="center"/>
              <w:outlineLvl w:val="9"/>
              <w:rPr>
                <w:b w:val="0"/>
                <w:color w:val="auto"/>
                <w:sz w:val="24"/>
              </w:rPr>
            </w:pPr>
          </w:p>
        </w:tc>
        <w:tc>
          <w:tcPr>
            <w:tcW w:w="1134" w:type="dxa"/>
            <w:noWrap w:val="0"/>
            <w:vAlign w:val="center"/>
          </w:tcPr>
          <w:p>
            <w:pPr>
              <w:pStyle w:val="51"/>
              <w:jc w:val="center"/>
              <w:outlineLvl w:val="9"/>
              <w:rPr>
                <w:b w:val="0"/>
                <w:color w:val="auto"/>
                <w:sz w:val="24"/>
              </w:rPr>
            </w:pPr>
          </w:p>
        </w:tc>
        <w:tc>
          <w:tcPr>
            <w:tcW w:w="1985" w:type="dxa"/>
            <w:noWrap w:val="0"/>
            <w:vAlign w:val="center"/>
          </w:tcPr>
          <w:p>
            <w:pPr>
              <w:pStyle w:val="51"/>
              <w:jc w:val="center"/>
              <w:outlineLvl w:val="9"/>
              <w:rPr>
                <w:b w:val="0"/>
                <w:color w:val="auto"/>
                <w:sz w:val="24"/>
              </w:rPr>
            </w:pPr>
          </w:p>
        </w:tc>
        <w:tc>
          <w:tcPr>
            <w:tcW w:w="1559" w:type="dxa"/>
            <w:noWrap w:val="0"/>
            <w:vAlign w:val="center"/>
          </w:tcPr>
          <w:p>
            <w:pPr>
              <w:pStyle w:val="51"/>
              <w:jc w:val="center"/>
              <w:outlineLvl w:val="9"/>
              <w:rPr>
                <w:b w:val="0"/>
                <w:color w:val="auto"/>
                <w:sz w:val="24"/>
              </w:rPr>
            </w:pPr>
          </w:p>
        </w:tc>
        <w:tc>
          <w:tcPr>
            <w:tcW w:w="992" w:type="dxa"/>
            <w:noWrap w:val="0"/>
            <w:vAlign w:val="center"/>
          </w:tcPr>
          <w:p>
            <w:pPr>
              <w:pStyle w:val="51"/>
              <w:jc w:val="center"/>
              <w:outlineLvl w:val="9"/>
              <w:rPr>
                <w:b w:val="0"/>
                <w:color w:val="auto"/>
                <w:sz w:val="24"/>
              </w:rPr>
            </w:pPr>
          </w:p>
        </w:tc>
      </w:tr>
    </w:tbl>
    <w:p>
      <w:pPr>
        <w:pStyle w:val="47"/>
        <w:rPr>
          <w:color w:val="auto"/>
        </w:rPr>
      </w:pPr>
      <w:r>
        <w:rPr>
          <w:rFonts w:hint="eastAsia"/>
          <w:color w:val="auto"/>
        </w:rPr>
        <w:t>注：上表为建设单位现持有辐射安全许可证批准的使用规模，本次评价项目不改变使用规模；放射源包括放射性中子源，对其要说明是何种核素以及产生的中子流强度（n/s）。</w:t>
      </w:r>
    </w:p>
    <w:p>
      <w:pPr>
        <w:pStyle w:val="51"/>
        <w:rPr>
          <w:color w:val="auto"/>
        </w:rPr>
      </w:pPr>
      <w:bookmarkStart w:id="22" w:name="_Toc15883"/>
      <w:r>
        <w:rPr>
          <w:rFonts w:hint="eastAsia"/>
          <w:color w:val="auto"/>
        </w:rPr>
        <w:t>表3非密封放射性物质</w:t>
      </w:r>
      <w:bookmarkEnd w:id="22"/>
    </w:p>
    <w:tbl>
      <w:tblPr>
        <w:tblStyle w:val="23"/>
        <w:tblW w:w="143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1417"/>
        <w:gridCol w:w="1418"/>
        <w:gridCol w:w="992"/>
        <w:gridCol w:w="1937"/>
        <w:gridCol w:w="1937"/>
        <w:gridCol w:w="1938"/>
        <w:gridCol w:w="709"/>
        <w:gridCol w:w="850"/>
        <w:gridCol w:w="851"/>
        <w:gridCol w:w="14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846" w:type="dxa"/>
            <w:noWrap w:val="0"/>
            <w:vAlign w:val="center"/>
          </w:tcPr>
          <w:p>
            <w:pPr>
              <w:pStyle w:val="51"/>
              <w:jc w:val="center"/>
              <w:outlineLvl w:val="9"/>
              <w:rPr>
                <w:b w:val="0"/>
                <w:color w:val="auto"/>
                <w:sz w:val="24"/>
              </w:rPr>
            </w:pPr>
            <w:bookmarkStart w:id="23" w:name="_Toc17858"/>
            <w:r>
              <w:rPr>
                <w:rFonts w:hint="eastAsia"/>
                <w:b w:val="0"/>
                <w:color w:val="auto"/>
                <w:sz w:val="24"/>
              </w:rPr>
              <w:t>序号</w:t>
            </w:r>
            <w:bookmarkEnd w:id="23"/>
          </w:p>
        </w:tc>
        <w:tc>
          <w:tcPr>
            <w:tcW w:w="1417" w:type="dxa"/>
            <w:noWrap w:val="0"/>
            <w:vAlign w:val="center"/>
          </w:tcPr>
          <w:p>
            <w:pPr>
              <w:pStyle w:val="51"/>
              <w:jc w:val="center"/>
              <w:outlineLvl w:val="9"/>
              <w:rPr>
                <w:b w:val="0"/>
                <w:color w:val="auto"/>
                <w:sz w:val="24"/>
              </w:rPr>
            </w:pPr>
            <w:bookmarkStart w:id="24" w:name="_Toc5256"/>
            <w:r>
              <w:rPr>
                <w:rFonts w:hint="eastAsia"/>
                <w:b w:val="0"/>
                <w:color w:val="auto"/>
                <w:sz w:val="24"/>
              </w:rPr>
              <w:t>核素</w:t>
            </w:r>
            <w:r>
              <w:rPr>
                <w:b w:val="0"/>
                <w:color w:val="auto"/>
                <w:sz w:val="24"/>
              </w:rPr>
              <w:t>名称</w:t>
            </w:r>
            <w:bookmarkEnd w:id="24"/>
          </w:p>
        </w:tc>
        <w:tc>
          <w:tcPr>
            <w:tcW w:w="1418" w:type="dxa"/>
            <w:noWrap w:val="0"/>
            <w:vAlign w:val="center"/>
          </w:tcPr>
          <w:p>
            <w:pPr>
              <w:pStyle w:val="51"/>
              <w:jc w:val="center"/>
              <w:outlineLvl w:val="9"/>
              <w:rPr>
                <w:b w:val="0"/>
                <w:color w:val="auto"/>
                <w:sz w:val="24"/>
              </w:rPr>
            </w:pPr>
            <w:bookmarkStart w:id="25" w:name="_Toc1769"/>
            <w:r>
              <w:rPr>
                <w:rFonts w:hint="eastAsia"/>
                <w:b w:val="0"/>
                <w:color w:val="auto"/>
                <w:sz w:val="24"/>
              </w:rPr>
              <w:t>理化</w:t>
            </w:r>
            <w:r>
              <w:rPr>
                <w:b w:val="0"/>
                <w:color w:val="auto"/>
                <w:sz w:val="24"/>
              </w:rPr>
              <w:t>性质</w:t>
            </w:r>
            <w:bookmarkEnd w:id="25"/>
          </w:p>
        </w:tc>
        <w:tc>
          <w:tcPr>
            <w:tcW w:w="992" w:type="dxa"/>
            <w:noWrap w:val="0"/>
            <w:vAlign w:val="center"/>
          </w:tcPr>
          <w:p>
            <w:pPr>
              <w:pStyle w:val="51"/>
              <w:jc w:val="center"/>
              <w:outlineLvl w:val="9"/>
              <w:rPr>
                <w:b w:val="0"/>
                <w:color w:val="auto"/>
                <w:sz w:val="24"/>
              </w:rPr>
            </w:pPr>
            <w:bookmarkStart w:id="26" w:name="_Toc8795"/>
            <w:r>
              <w:rPr>
                <w:rFonts w:hint="eastAsia"/>
                <w:b w:val="0"/>
                <w:color w:val="auto"/>
                <w:sz w:val="24"/>
              </w:rPr>
              <w:t>活动</w:t>
            </w:r>
            <w:r>
              <w:rPr>
                <w:b w:val="0"/>
                <w:color w:val="auto"/>
                <w:sz w:val="24"/>
              </w:rPr>
              <w:t>种类</w:t>
            </w:r>
            <w:bookmarkEnd w:id="26"/>
          </w:p>
        </w:tc>
        <w:tc>
          <w:tcPr>
            <w:tcW w:w="1937" w:type="dxa"/>
            <w:noWrap w:val="0"/>
            <w:vAlign w:val="center"/>
          </w:tcPr>
          <w:p>
            <w:pPr>
              <w:pStyle w:val="51"/>
              <w:jc w:val="center"/>
              <w:outlineLvl w:val="9"/>
              <w:rPr>
                <w:b w:val="0"/>
                <w:color w:val="auto"/>
                <w:sz w:val="24"/>
              </w:rPr>
            </w:pPr>
            <w:bookmarkStart w:id="27" w:name="_Toc3128"/>
            <w:r>
              <w:rPr>
                <w:rFonts w:hint="eastAsia"/>
                <w:b w:val="0"/>
                <w:color w:val="auto"/>
                <w:sz w:val="24"/>
              </w:rPr>
              <w:t>实际</w:t>
            </w:r>
            <w:r>
              <w:rPr>
                <w:b w:val="0"/>
                <w:color w:val="auto"/>
                <w:sz w:val="24"/>
              </w:rPr>
              <w:t>日最大操作</w:t>
            </w:r>
            <w:r>
              <w:rPr>
                <w:rFonts w:hint="eastAsia"/>
                <w:b w:val="0"/>
                <w:color w:val="auto"/>
                <w:sz w:val="24"/>
              </w:rPr>
              <w:t>量（Bq）</w:t>
            </w:r>
            <w:bookmarkEnd w:id="27"/>
          </w:p>
        </w:tc>
        <w:tc>
          <w:tcPr>
            <w:tcW w:w="1937" w:type="dxa"/>
            <w:noWrap w:val="0"/>
            <w:vAlign w:val="center"/>
          </w:tcPr>
          <w:p>
            <w:pPr>
              <w:pStyle w:val="51"/>
              <w:jc w:val="center"/>
              <w:outlineLvl w:val="9"/>
              <w:rPr>
                <w:b w:val="0"/>
                <w:color w:val="auto"/>
                <w:sz w:val="24"/>
              </w:rPr>
            </w:pPr>
            <w:bookmarkStart w:id="28" w:name="_Toc7734"/>
            <w:r>
              <w:rPr>
                <w:rFonts w:hint="eastAsia"/>
                <w:b w:val="0"/>
                <w:color w:val="auto"/>
                <w:sz w:val="24"/>
              </w:rPr>
              <w:t>日</w:t>
            </w:r>
            <w:r>
              <w:rPr>
                <w:b w:val="0"/>
                <w:color w:val="auto"/>
                <w:sz w:val="24"/>
              </w:rPr>
              <w:t>等效最大操作</w:t>
            </w:r>
            <w:r>
              <w:rPr>
                <w:rFonts w:hint="eastAsia"/>
                <w:b w:val="0"/>
                <w:color w:val="auto"/>
                <w:sz w:val="24"/>
              </w:rPr>
              <w:t>量（Bq）</w:t>
            </w:r>
            <w:bookmarkEnd w:id="28"/>
          </w:p>
        </w:tc>
        <w:tc>
          <w:tcPr>
            <w:tcW w:w="1938" w:type="dxa"/>
            <w:noWrap w:val="0"/>
            <w:vAlign w:val="center"/>
          </w:tcPr>
          <w:p>
            <w:pPr>
              <w:pStyle w:val="51"/>
              <w:jc w:val="center"/>
              <w:outlineLvl w:val="9"/>
              <w:rPr>
                <w:b w:val="0"/>
                <w:color w:val="auto"/>
                <w:sz w:val="24"/>
              </w:rPr>
            </w:pPr>
            <w:bookmarkStart w:id="29" w:name="_Toc11498"/>
            <w:r>
              <w:rPr>
                <w:rFonts w:hint="eastAsia"/>
                <w:b w:val="0"/>
                <w:color w:val="auto"/>
                <w:sz w:val="24"/>
              </w:rPr>
              <w:t>年</w:t>
            </w:r>
            <w:r>
              <w:rPr>
                <w:b w:val="0"/>
                <w:color w:val="auto"/>
                <w:sz w:val="24"/>
              </w:rPr>
              <w:t>最大操作</w:t>
            </w:r>
            <w:r>
              <w:rPr>
                <w:rFonts w:hint="eastAsia"/>
                <w:b w:val="0"/>
                <w:color w:val="auto"/>
                <w:sz w:val="24"/>
              </w:rPr>
              <w:t>量（Bq）</w:t>
            </w:r>
            <w:bookmarkEnd w:id="29"/>
          </w:p>
        </w:tc>
        <w:tc>
          <w:tcPr>
            <w:tcW w:w="709" w:type="dxa"/>
            <w:noWrap w:val="0"/>
            <w:vAlign w:val="center"/>
          </w:tcPr>
          <w:p>
            <w:pPr>
              <w:pStyle w:val="51"/>
              <w:jc w:val="center"/>
              <w:outlineLvl w:val="9"/>
              <w:rPr>
                <w:b w:val="0"/>
                <w:color w:val="auto"/>
                <w:sz w:val="24"/>
              </w:rPr>
            </w:pPr>
            <w:bookmarkStart w:id="30" w:name="_Toc22646"/>
            <w:r>
              <w:rPr>
                <w:rFonts w:hint="eastAsia"/>
                <w:b w:val="0"/>
                <w:color w:val="auto"/>
                <w:sz w:val="24"/>
              </w:rPr>
              <w:t>用途</w:t>
            </w:r>
            <w:bookmarkEnd w:id="30"/>
          </w:p>
        </w:tc>
        <w:tc>
          <w:tcPr>
            <w:tcW w:w="850" w:type="dxa"/>
            <w:noWrap w:val="0"/>
            <w:vAlign w:val="center"/>
          </w:tcPr>
          <w:p>
            <w:pPr>
              <w:pStyle w:val="51"/>
              <w:jc w:val="center"/>
              <w:outlineLvl w:val="9"/>
              <w:rPr>
                <w:b w:val="0"/>
                <w:color w:val="auto"/>
                <w:sz w:val="24"/>
              </w:rPr>
            </w:pPr>
            <w:bookmarkStart w:id="31" w:name="_Toc7627"/>
            <w:r>
              <w:rPr>
                <w:rFonts w:hint="eastAsia"/>
                <w:b w:val="0"/>
                <w:color w:val="auto"/>
                <w:sz w:val="24"/>
              </w:rPr>
              <w:t>操作</w:t>
            </w:r>
            <w:r>
              <w:rPr>
                <w:b w:val="0"/>
                <w:color w:val="auto"/>
                <w:sz w:val="24"/>
              </w:rPr>
              <w:t>方式</w:t>
            </w:r>
            <w:bookmarkEnd w:id="31"/>
          </w:p>
        </w:tc>
        <w:tc>
          <w:tcPr>
            <w:tcW w:w="851" w:type="dxa"/>
            <w:noWrap w:val="0"/>
            <w:vAlign w:val="center"/>
          </w:tcPr>
          <w:p>
            <w:pPr>
              <w:pStyle w:val="51"/>
              <w:jc w:val="center"/>
              <w:outlineLvl w:val="9"/>
              <w:rPr>
                <w:b w:val="0"/>
                <w:color w:val="auto"/>
                <w:sz w:val="24"/>
              </w:rPr>
            </w:pPr>
            <w:bookmarkStart w:id="32" w:name="_Toc18700"/>
            <w:r>
              <w:rPr>
                <w:rFonts w:hint="eastAsia"/>
                <w:b w:val="0"/>
                <w:color w:val="auto"/>
                <w:sz w:val="24"/>
              </w:rPr>
              <w:t>使用</w:t>
            </w:r>
            <w:r>
              <w:rPr>
                <w:b w:val="0"/>
                <w:color w:val="auto"/>
                <w:sz w:val="24"/>
              </w:rPr>
              <w:t>场所</w:t>
            </w:r>
            <w:bookmarkEnd w:id="32"/>
          </w:p>
        </w:tc>
        <w:tc>
          <w:tcPr>
            <w:tcW w:w="1417" w:type="dxa"/>
            <w:noWrap w:val="0"/>
            <w:vAlign w:val="center"/>
          </w:tcPr>
          <w:p>
            <w:pPr>
              <w:pStyle w:val="51"/>
              <w:jc w:val="center"/>
              <w:outlineLvl w:val="9"/>
              <w:rPr>
                <w:b w:val="0"/>
                <w:color w:val="auto"/>
                <w:sz w:val="24"/>
              </w:rPr>
            </w:pPr>
            <w:bookmarkStart w:id="33" w:name="_Toc7165"/>
            <w:r>
              <w:rPr>
                <w:rFonts w:hint="eastAsia"/>
                <w:b w:val="0"/>
                <w:color w:val="auto"/>
                <w:sz w:val="24"/>
              </w:rPr>
              <w:t>贮存方式与地点</w:t>
            </w:r>
            <w:bookmarkEnd w:id="33"/>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846" w:type="dxa"/>
            <w:noWrap w:val="0"/>
            <w:vAlign w:val="center"/>
          </w:tcPr>
          <w:p>
            <w:pPr>
              <w:pStyle w:val="51"/>
              <w:jc w:val="center"/>
              <w:outlineLvl w:val="9"/>
              <w:rPr>
                <w:b w:val="0"/>
                <w:color w:val="auto"/>
                <w:sz w:val="24"/>
              </w:rPr>
            </w:pPr>
            <w:bookmarkStart w:id="34" w:name="_Toc4544"/>
            <w:r>
              <w:rPr>
                <w:rFonts w:hint="eastAsia"/>
                <w:b w:val="0"/>
                <w:color w:val="auto"/>
                <w:sz w:val="24"/>
              </w:rPr>
              <w:t>/</w:t>
            </w:r>
            <w:bookmarkEnd w:id="34"/>
          </w:p>
        </w:tc>
        <w:tc>
          <w:tcPr>
            <w:tcW w:w="1417" w:type="dxa"/>
            <w:noWrap w:val="0"/>
            <w:vAlign w:val="center"/>
          </w:tcPr>
          <w:p>
            <w:pPr>
              <w:pStyle w:val="51"/>
              <w:jc w:val="center"/>
              <w:outlineLvl w:val="9"/>
              <w:rPr>
                <w:b w:val="0"/>
                <w:color w:val="auto"/>
                <w:sz w:val="24"/>
              </w:rPr>
            </w:pPr>
            <w:bookmarkStart w:id="35" w:name="_Toc24229"/>
            <w:r>
              <w:rPr>
                <w:rFonts w:hint="eastAsia"/>
                <w:b w:val="0"/>
                <w:color w:val="auto"/>
                <w:sz w:val="24"/>
              </w:rPr>
              <w:t>/</w:t>
            </w:r>
            <w:bookmarkEnd w:id="35"/>
          </w:p>
        </w:tc>
        <w:tc>
          <w:tcPr>
            <w:tcW w:w="1418" w:type="dxa"/>
            <w:noWrap w:val="0"/>
            <w:vAlign w:val="center"/>
          </w:tcPr>
          <w:p>
            <w:pPr>
              <w:pStyle w:val="51"/>
              <w:jc w:val="center"/>
              <w:outlineLvl w:val="9"/>
              <w:rPr>
                <w:b w:val="0"/>
                <w:color w:val="auto"/>
                <w:sz w:val="24"/>
              </w:rPr>
            </w:pPr>
            <w:bookmarkStart w:id="36" w:name="_Toc16282"/>
            <w:r>
              <w:rPr>
                <w:rFonts w:hint="eastAsia"/>
                <w:b w:val="0"/>
                <w:color w:val="auto"/>
                <w:sz w:val="24"/>
              </w:rPr>
              <w:t>/</w:t>
            </w:r>
            <w:bookmarkEnd w:id="36"/>
          </w:p>
        </w:tc>
        <w:tc>
          <w:tcPr>
            <w:tcW w:w="992" w:type="dxa"/>
            <w:noWrap w:val="0"/>
            <w:vAlign w:val="center"/>
          </w:tcPr>
          <w:p>
            <w:pPr>
              <w:pStyle w:val="51"/>
              <w:jc w:val="center"/>
              <w:outlineLvl w:val="9"/>
              <w:rPr>
                <w:b w:val="0"/>
                <w:color w:val="auto"/>
                <w:sz w:val="24"/>
              </w:rPr>
            </w:pPr>
            <w:bookmarkStart w:id="37" w:name="_Toc3905"/>
            <w:r>
              <w:rPr>
                <w:rFonts w:hint="eastAsia"/>
                <w:b w:val="0"/>
                <w:color w:val="auto"/>
                <w:sz w:val="24"/>
              </w:rPr>
              <w:t>/</w:t>
            </w:r>
            <w:bookmarkEnd w:id="37"/>
          </w:p>
        </w:tc>
        <w:tc>
          <w:tcPr>
            <w:tcW w:w="1937" w:type="dxa"/>
            <w:noWrap w:val="0"/>
            <w:vAlign w:val="center"/>
          </w:tcPr>
          <w:p>
            <w:pPr>
              <w:pStyle w:val="51"/>
              <w:jc w:val="center"/>
              <w:outlineLvl w:val="9"/>
              <w:rPr>
                <w:b w:val="0"/>
                <w:color w:val="auto"/>
                <w:sz w:val="24"/>
              </w:rPr>
            </w:pPr>
            <w:bookmarkStart w:id="38" w:name="_Toc11372"/>
            <w:r>
              <w:rPr>
                <w:rFonts w:hint="eastAsia"/>
                <w:b w:val="0"/>
                <w:color w:val="auto"/>
                <w:sz w:val="24"/>
              </w:rPr>
              <w:t>/</w:t>
            </w:r>
            <w:bookmarkEnd w:id="38"/>
          </w:p>
        </w:tc>
        <w:tc>
          <w:tcPr>
            <w:tcW w:w="1937" w:type="dxa"/>
            <w:noWrap w:val="0"/>
            <w:vAlign w:val="center"/>
          </w:tcPr>
          <w:p>
            <w:pPr>
              <w:pStyle w:val="51"/>
              <w:jc w:val="center"/>
              <w:outlineLvl w:val="9"/>
              <w:rPr>
                <w:b w:val="0"/>
                <w:color w:val="auto"/>
                <w:sz w:val="24"/>
              </w:rPr>
            </w:pPr>
            <w:bookmarkStart w:id="39" w:name="_Toc17786"/>
            <w:r>
              <w:rPr>
                <w:rFonts w:hint="eastAsia"/>
                <w:b w:val="0"/>
                <w:color w:val="auto"/>
                <w:sz w:val="24"/>
              </w:rPr>
              <w:t>/</w:t>
            </w:r>
            <w:bookmarkEnd w:id="39"/>
          </w:p>
        </w:tc>
        <w:tc>
          <w:tcPr>
            <w:tcW w:w="1938" w:type="dxa"/>
            <w:noWrap w:val="0"/>
            <w:vAlign w:val="center"/>
          </w:tcPr>
          <w:p>
            <w:pPr>
              <w:pStyle w:val="51"/>
              <w:jc w:val="center"/>
              <w:outlineLvl w:val="9"/>
              <w:rPr>
                <w:b w:val="0"/>
                <w:color w:val="auto"/>
                <w:sz w:val="24"/>
              </w:rPr>
            </w:pPr>
            <w:bookmarkStart w:id="40" w:name="_Toc10708"/>
            <w:r>
              <w:rPr>
                <w:rFonts w:hint="eastAsia"/>
                <w:b w:val="0"/>
                <w:color w:val="auto"/>
                <w:sz w:val="24"/>
              </w:rPr>
              <w:t>/</w:t>
            </w:r>
            <w:bookmarkEnd w:id="40"/>
          </w:p>
        </w:tc>
        <w:tc>
          <w:tcPr>
            <w:tcW w:w="709" w:type="dxa"/>
            <w:noWrap w:val="0"/>
            <w:vAlign w:val="center"/>
          </w:tcPr>
          <w:p>
            <w:pPr>
              <w:pStyle w:val="51"/>
              <w:jc w:val="center"/>
              <w:outlineLvl w:val="9"/>
              <w:rPr>
                <w:b w:val="0"/>
                <w:color w:val="auto"/>
                <w:sz w:val="24"/>
              </w:rPr>
            </w:pPr>
            <w:bookmarkStart w:id="41" w:name="_Toc10920"/>
            <w:r>
              <w:rPr>
                <w:rFonts w:hint="eastAsia"/>
                <w:b w:val="0"/>
                <w:color w:val="auto"/>
                <w:sz w:val="24"/>
              </w:rPr>
              <w:t>/</w:t>
            </w:r>
            <w:bookmarkEnd w:id="41"/>
          </w:p>
        </w:tc>
        <w:tc>
          <w:tcPr>
            <w:tcW w:w="850" w:type="dxa"/>
            <w:noWrap w:val="0"/>
            <w:vAlign w:val="center"/>
          </w:tcPr>
          <w:p>
            <w:pPr>
              <w:pStyle w:val="51"/>
              <w:jc w:val="center"/>
              <w:outlineLvl w:val="9"/>
              <w:rPr>
                <w:b w:val="0"/>
                <w:color w:val="auto"/>
                <w:sz w:val="24"/>
              </w:rPr>
            </w:pPr>
            <w:bookmarkStart w:id="42" w:name="_Toc10548"/>
            <w:r>
              <w:rPr>
                <w:rFonts w:hint="eastAsia"/>
                <w:b w:val="0"/>
                <w:color w:val="auto"/>
                <w:sz w:val="24"/>
              </w:rPr>
              <w:t>/</w:t>
            </w:r>
            <w:bookmarkEnd w:id="42"/>
          </w:p>
        </w:tc>
        <w:tc>
          <w:tcPr>
            <w:tcW w:w="851" w:type="dxa"/>
            <w:noWrap w:val="0"/>
            <w:vAlign w:val="center"/>
          </w:tcPr>
          <w:p>
            <w:pPr>
              <w:pStyle w:val="51"/>
              <w:jc w:val="center"/>
              <w:outlineLvl w:val="9"/>
              <w:rPr>
                <w:b w:val="0"/>
                <w:color w:val="auto"/>
                <w:sz w:val="24"/>
              </w:rPr>
            </w:pPr>
            <w:bookmarkStart w:id="43" w:name="_Toc19050"/>
            <w:r>
              <w:rPr>
                <w:rFonts w:hint="eastAsia"/>
                <w:b w:val="0"/>
                <w:color w:val="auto"/>
                <w:sz w:val="24"/>
              </w:rPr>
              <w:t>/</w:t>
            </w:r>
            <w:bookmarkEnd w:id="43"/>
          </w:p>
        </w:tc>
        <w:tc>
          <w:tcPr>
            <w:tcW w:w="1417" w:type="dxa"/>
            <w:noWrap w:val="0"/>
            <w:vAlign w:val="center"/>
          </w:tcPr>
          <w:p>
            <w:pPr>
              <w:pStyle w:val="51"/>
              <w:jc w:val="center"/>
              <w:outlineLvl w:val="9"/>
              <w:rPr>
                <w:b w:val="0"/>
                <w:color w:val="auto"/>
                <w:sz w:val="24"/>
              </w:rPr>
            </w:pPr>
            <w:bookmarkStart w:id="44" w:name="_Toc28776"/>
            <w:r>
              <w:rPr>
                <w:rFonts w:hint="eastAsia"/>
                <w:b w:val="0"/>
                <w:color w:val="auto"/>
                <w:sz w:val="24"/>
              </w:rPr>
              <w:t>/</w:t>
            </w:r>
            <w:bookmarkEnd w:id="44"/>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846" w:type="dxa"/>
            <w:noWrap w:val="0"/>
            <w:vAlign w:val="center"/>
          </w:tcPr>
          <w:p>
            <w:pPr>
              <w:pStyle w:val="51"/>
              <w:jc w:val="center"/>
              <w:outlineLvl w:val="9"/>
              <w:rPr>
                <w:b w:val="0"/>
                <w:color w:val="auto"/>
                <w:sz w:val="24"/>
              </w:rPr>
            </w:pPr>
          </w:p>
        </w:tc>
        <w:tc>
          <w:tcPr>
            <w:tcW w:w="1417" w:type="dxa"/>
            <w:noWrap w:val="0"/>
            <w:vAlign w:val="center"/>
          </w:tcPr>
          <w:p>
            <w:pPr>
              <w:pStyle w:val="51"/>
              <w:jc w:val="center"/>
              <w:outlineLvl w:val="9"/>
              <w:rPr>
                <w:b w:val="0"/>
                <w:color w:val="auto"/>
                <w:sz w:val="24"/>
              </w:rPr>
            </w:pPr>
            <w:bookmarkStart w:id="45" w:name="_Toc251"/>
            <w:r>
              <w:rPr>
                <w:rFonts w:hint="eastAsia"/>
                <w:b w:val="0"/>
                <w:color w:val="auto"/>
                <w:sz w:val="24"/>
              </w:rPr>
              <w:t>以下空白</w:t>
            </w:r>
            <w:bookmarkEnd w:id="45"/>
          </w:p>
        </w:tc>
        <w:tc>
          <w:tcPr>
            <w:tcW w:w="1418" w:type="dxa"/>
            <w:noWrap w:val="0"/>
            <w:vAlign w:val="center"/>
          </w:tcPr>
          <w:p>
            <w:pPr>
              <w:pStyle w:val="51"/>
              <w:jc w:val="center"/>
              <w:outlineLvl w:val="9"/>
              <w:rPr>
                <w:b w:val="0"/>
                <w:color w:val="auto"/>
                <w:sz w:val="24"/>
              </w:rPr>
            </w:pPr>
          </w:p>
        </w:tc>
        <w:tc>
          <w:tcPr>
            <w:tcW w:w="992" w:type="dxa"/>
            <w:noWrap w:val="0"/>
            <w:vAlign w:val="center"/>
          </w:tcPr>
          <w:p>
            <w:pPr>
              <w:pStyle w:val="51"/>
              <w:jc w:val="center"/>
              <w:outlineLvl w:val="9"/>
              <w:rPr>
                <w:b w:val="0"/>
                <w:color w:val="auto"/>
                <w:sz w:val="24"/>
              </w:rPr>
            </w:pPr>
          </w:p>
        </w:tc>
        <w:tc>
          <w:tcPr>
            <w:tcW w:w="1937" w:type="dxa"/>
            <w:noWrap w:val="0"/>
            <w:vAlign w:val="center"/>
          </w:tcPr>
          <w:p>
            <w:pPr>
              <w:pStyle w:val="51"/>
              <w:jc w:val="center"/>
              <w:outlineLvl w:val="9"/>
              <w:rPr>
                <w:b w:val="0"/>
                <w:color w:val="auto"/>
                <w:sz w:val="24"/>
              </w:rPr>
            </w:pPr>
          </w:p>
        </w:tc>
        <w:tc>
          <w:tcPr>
            <w:tcW w:w="1937" w:type="dxa"/>
            <w:noWrap w:val="0"/>
            <w:vAlign w:val="center"/>
          </w:tcPr>
          <w:p>
            <w:pPr>
              <w:pStyle w:val="51"/>
              <w:jc w:val="center"/>
              <w:outlineLvl w:val="9"/>
              <w:rPr>
                <w:b w:val="0"/>
                <w:color w:val="auto"/>
                <w:sz w:val="24"/>
              </w:rPr>
            </w:pPr>
          </w:p>
        </w:tc>
        <w:tc>
          <w:tcPr>
            <w:tcW w:w="1938" w:type="dxa"/>
            <w:noWrap w:val="0"/>
            <w:vAlign w:val="center"/>
          </w:tcPr>
          <w:p>
            <w:pPr>
              <w:pStyle w:val="51"/>
              <w:jc w:val="center"/>
              <w:outlineLvl w:val="9"/>
              <w:rPr>
                <w:b w:val="0"/>
                <w:color w:val="auto"/>
                <w:sz w:val="24"/>
              </w:rPr>
            </w:pPr>
          </w:p>
        </w:tc>
        <w:tc>
          <w:tcPr>
            <w:tcW w:w="709" w:type="dxa"/>
            <w:noWrap w:val="0"/>
            <w:vAlign w:val="center"/>
          </w:tcPr>
          <w:p>
            <w:pPr>
              <w:pStyle w:val="51"/>
              <w:jc w:val="center"/>
              <w:outlineLvl w:val="9"/>
              <w:rPr>
                <w:b w:val="0"/>
                <w:color w:val="auto"/>
                <w:sz w:val="24"/>
              </w:rPr>
            </w:pPr>
          </w:p>
        </w:tc>
        <w:tc>
          <w:tcPr>
            <w:tcW w:w="850" w:type="dxa"/>
            <w:noWrap w:val="0"/>
            <w:vAlign w:val="center"/>
          </w:tcPr>
          <w:p>
            <w:pPr>
              <w:pStyle w:val="51"/>
              <w:jc w:val="center"/>
              <w:outlineLvl w:val="9"/>
              <w:rPr>
                <w:b w:val="0"/>
                <w:color w:val="auto"/>
                <w:sz w:val="24"/>
              </w:rPr>
            </w:pPr>
          </w:p>
        </w:tc>
        <w:tc>
          <w:tcPr>
            <w:tcW w:w="851" w:type="dxa"/>
            <w:noWrap w:val="0"/>
            <w:vAlign w:val="center"/>
          </w:tcPr>
          <w:p>
            <w:pPr>
              <w:pStyle w:val="51"/>
              <w:jc w:val="center"/>
              <w:outlineLvl w:val="9"/>
              <w:rPr>
                <w:b w:val="0"/>
                <w:color w:val="auto"/>
                <w:sz w:val="24"/>
              </w:rPr>
            </w:pPr>
          </w:p>
        </w:tc>
        <w:tc>
          <w:tcPr>
            <w:tcW w:w="1417" w:type="dxa"/>
            <w:noWrap w:val="0"/>
            <w:vAlign w:val="center"/>
          </w:tcPr>
          <w:p>
            <w:pPr>
              <w:pStyle w:val="51"/>
              <w:jc w:val="center"/>
              <w:outlineLvl w:val="9"/>
              <w:rPr>
                <w:b w:val="0"/>
                <w:color w:val="auto"/>
                <w:sz w:val="24"/>
              </w:rPr>
            </w:pPr>
          </w:p>
        </w:tc>
      </w:tr>
    </w:tbl>
    <w:p>
      <w:pPr>
        <w:pStyle w:val="47"/>
        <w:rPr>
          <w:color w:val="auto"/>
        </w:rPr>
        <w:sectPr>
          <w:pgSz w:w="16838" w:h="11906" w:orient="landscape"/>
          <w:pgMar w:top="1800" w:right="1440" w:bottom="1800" w:left="1440" w:header="851" w:footer="992" w:gutter="0"/>
          <w:cols w:space="720" w:num="1"/>
          <w:docGrid w:type="lines" w:linePitch="312" w:charSpace="0"/>
        </w:sectPr>
      </w:pPr>
      <w:r>
        <w:rPr>
          <w:rFonts w:hint="eastAsia"/>
          <w:color w:val="auto"/>
        </w:rPr>
        <w:t>注：日等效最大操作和操作方式见《电离辐射防护与辐射源安全基本标准》（GB18871-2002）</w:t>
      </w:r>
    </w:p>
    <w:p>
      <w:pPr>
        <w:pStyle w:val="51"/>
        <w:rPr>
          <w:color w:val="auto"/>
        </w:rPr>
      </w:pPr>
      <w:bookmarkStart w:id="46" w:name="_Toc10573"/>
      <w:r>
        <w:rPr>
          <w:rFonts w:hint="eastAsia"/>
          <w:color w:val="auto"/>
        </w:rPr>
        <w:t>表4射线装置</w:t>
      </w:r>
      <w:bookmarkEnd w:id="46"/>
    </w:p>
    <w:p>
      <w:pPr>
        <w:pStyle w:val="47"/>
        <w:rPr>
          <w:color w:val="auto"/>
        </w:rPr>
      </w:pPr>
      <w:r>
        <w:rPr>
          <w:color w:val="auto"/>
        </w:rPr>
        <w:t>（一）加速器：包括医用、工农业、科研、教学等用途的各种类型加速器</w:t>
      </w:r>
    </w:p>
    <w:tbl>
      <w:tblPr>
        <w:tblStyle w:val="23"/>
        <w:tblW w:w="143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8"/>
        <w:gridCol w:w="1275"/>
        <w:gridCol w:w="850"/>
        <w:gridCol w:w="880"/>
        <w:gridCol w:w="1417"/>
        <w:gridCol w:w="1701"/>
        <w:gridCol w:w="1985"/>
        <w:gridCol w:w="2400"/>
        <w:gridCol w:w="821"/>
        <w:gridCol w:w="822"/>
        <w:gridCol w:w="13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18" w:type="dxa"/>
            <w:noWrap w:val="0"/>
            <w:vAlign w:val="center"/>
          </w:tcPr>
          <w:p>
            <w:pPr>
              <w:pStyle w:val="51"/>
              <w:jc w:val="center"/>
              <w:outlineLvl w:val="9"/>
              <w:rPr>
                <w:b w:val="0"/>
                <w:color w:val="auto"/>
                <w:sz w:val="24"/>
              </w:rPr>
            </w:pPr>
            <w:bookmarkStart w:id="47" w:name="_Toc15657"/>
            <w:r>
              <w:rPr>
                <w:b w:val="0"/>
                <w:color w:val="auto"/>
                <w:sz w:val="24"/>
              </w:rPr>
              <w:t>序号</w:t>
            </w:r>
            <w:bookmarkEnd w:id="47"/>
          </w:p>
        </w:tc>
        <w:tc>
          <w:tcPr>
            <w:tcW w:w="1275" w:type="dxa"/>
            <w:noWrap w:val="0"/>
            <w:vAlign w:val="center"/>
          </w:tcPr>
          <w:p>
            <w:pPr>
              <w:pStyle w:val="51"/>
              <w:jc w:val="center"/>
              <w:outlineLvl w:val="9"/>
              <w:rPr>
                <w:b w:val="0"/>
                <w:color w:val="auto"/>
                <w:sz w:val="24"/>
              </w:rPr>
            </w:pPr>
            <w:bookmarkStart w:id="48" w:name="_Toc19023"/>
            <w:r>
              <w:rPr>
                <w:b w:val="0"/>
                <w:color w:val="auto"/>
                <w:sz w:val="24"/>
              </w:rPr>
              <w:t>名称</w:t>
            </w:r>
            <w:bookmarkEnd w:id="48"/>
          </w:p>
        </w:tc>
        <w:tc>
          <w:tcPr>
            <w:tcW w:w="850" w:type="dxa"/>
            <w:noWrap w:val="0"/>
            <w:vAlign w:val="center"/>
          </w:tcPr>
          <w:p>
            <w:pPr>
              <w:pStyle w:val="51"/>
              <w:jc w:val="center"/>
              <w:outlineLvl w:val="9"/>
              <w:rPr>
                <w:b w:val="0"/>
                <w:color w:val="auto"/>
                <w:sz w:val="24"/>
              </w:rPr>
            </w:pPr>
            <w:bookmarkStart w:id="49" w:name="_Toc15134"/>
            <w:r>
              <w:rPr>
                <w:b w:val="0"/>
                <w:color w:val="auto"/>
                <w:sz w:val="24"/>
              </w:rPr>
              <w:t>类别</w:t>
            </w:r>
            <w:bookmarkEnd w:id="49"/>
          </w:p>
        </w:tc>
        <w:tc>
          <w:tcPr>
            <w:tcW w:w="880" w:type="dxa"/>
            <w:noWrap w:val="0"/>
            <w:vAlign w:val="center"/>
          </w:tcPr>
          <w:p>
            <w:pPr>
              <w:pStyle w:val="51"/>
              <w:jc w:val="center"/>
              <w:outlineLvl w:val="9"/>
              <w:rPr>
                <w:b w:val="0"/>
                <w:color w:val="auto"/>
                <w:sz w:val="24"/>
              </w:rPr>
            </w:pPr>
            <w:bookmarkStart w:id="50" w:name="_Toc2202"/>
            <w:r>
              <w:rPr>
                <w:b w:val="0"/>
                <w:color w:val="auto"/>
                <w:sz w:val="24"/>
              </w:rPr>
              <w:t>数量</w:t>
            </w:r>
            <w:bookmarkEnd w:id="50"/>
          </w:p>
        </w:tc>
        <w:tc>
          <w:tcPr>
            <w:tcW w:w="1417" w:type="dxa"/>
            <w:noWrap w:val="0"/>
            <w:vAlign w:val="center"/>
          </w:tcPr>
          <w:p>
            <w:pPr>
              <w:pStyle w:val="51"/>
              <w:jc w:val="center"/>
              <w:outlineLvl w:val="9"/>
              <w:rPr>
                <w:b w:val="0"/>
                <w:color w:val="auto"/>
                <w:sz w:val="24"/>
              </w:rPr>
            </w:pPr>
            <w:bookmarkStart w:id="51" w:name="_Toc18013"/>
            <w:r>
              <w:rPr>
                <w:b w:val="0"/>
                <w:color w:val="auto"/>
                <w:sz w:val="24"/>
              </w:rPr>
              <w:t>型号</w:t>
            </w:r>
            <w:bookmarkEnd w:id="51"/>
          </w:p>
        </w:tc>
        <w:tc>
          <w:tcPr>
            <w:tcW w:w="1701" w:type="dxa"/>
            <w:noWrap w:val="0"/>
            <w:vAlign w:val="center"/>
          </w:tcPr>
          <w:p>
            <w:pPr>
              <w:pStyle w:val="51"/>
              <w:jc w:val="center"/>
              <w:outlineLvl w:val="9"/>
              <w:rPr>
                <w:b w:val="0"/>
                <w:color w:val="auto"/>
                <w:sz w:val="24"/>
              </w:rPr>
            </w:pPr>
            <w:bookmarkStart w:id="52" w:name="_Toc18594"/>
            <w:r>
              <w:rPr>
                <w:b w:val="0"/>
                <w:color w:val="auto"/>
                <w:sz w:val="24"/>
              </w:rPr>
              <w:t>加速粒子</w:t>
            </w:r>
            <w:bookmarkEnd w:id="52"/>
          </w:p>
        </w:tc>
        <w:tc>
          <w:tcPr>
            <w:tcW w:w="1985" w:type="dxa"/>
            <w:noWrap w:val="0"/>
            <w:vAlign w:val="center"/>
          </w:tcPr>
          <w:p>
            <w:pPr>
              <w:pStyle w:val="51"/>
              <w:jc w:val="center"/>
              <w:outlineLvl w:val="9"/>
              <w:rPr>
                <w:b w:val="0"/>
                <w:color w:val="auto"/>
                <w:sz w:val="24"/>
              </w:rPr>
            </w:pPr>
            <w:bookmarkStart w:id="53" w:name="_Toc17558"/>
            <w:r>
              <w:rPr>
                <w:b w:val="0"/>
                <w:color w:val="auto"/>
                <w:sz w:val="24"/>
              </w:rPr>
              <w:t>最大能量（MeV）</w:t>
            </w:r>
            <w:bookmarkEnd w:id="53"/>
          </w:p>
        </w:tc>
        <w:tc>
          <w:tcPr>
            <w:tcW w:w="2400" w:type="dxa"/>
            <w:noWrap w:val="0"/>
            <w:vAlign w:val="center"/>
          </w:tcPr>
          <w:p>
            <w:pPr>
              <w:pStyle w:val="51"/>
              <w:jc w:val="center"/>
              <w:outlineLvl w:val="9"/>
              <w:rPr>
                <w:b w:val="0"/>
                <w:color w:val="auto"/>
                <w:sz w:val="24"/>
              </w:rPr>
            </w:pPr>
            <w:bookmarkStart w:id="54" w:name="_Toc26656"/>
            <w:r>
              <w:rPr>
                <w:b w:val="0"/>
                <w:color w:val="auto"/>
                <w:sz w:val="24"/>
              </w:rPr>
              <w:t>额度电流（mA）/</w:t>
            </w:r>
            <w:bookmarkEnd w:id="54"/>
          </w:p>
          <w:p>
            <w:pPr>
              <w:pStyle w:val="51"/>
              <w:jc w:val="center"/>
              <w:outlineLvl w:val="9"/>
              <w:rPr>
                <w:b w:val="0"/>
                <w:color w:val="auto"/>
                <w:sz w:val="24"/>
              </w:rPr>
            </w:pPr>
            <w:bookmarkStart w:id="55" w:name="_Toc6215"/>
            <w:r>
              <w:rPr>
                <w:b w:val="0"/>
                <w:color w:val="auto"/>
                <w:sz w:val="24"/>
              </w:rPr>
              <w:t>剂量率（Gy/h）</w:t>
            </w:r>
            <w:bookmarkEnd w:id="55"/>
          </w:p>
        </w:tc>
        <w:tc>
          <w:tcPr>
            <w:tcW w:w="821" w:type="dxa"/>
            <w:noWrap w:val="0"/>
            <w:vAlign w:val="center"/>
          </w:tcPr>
          <w:p>
            <w:pPr>
              <w:pStyle w:val="51"/>
              <w:jc w:val="center"/>
              <w:outlineLvl w:val="9"/>
              <w:rPr>
                <w:b w:val="0"/>
                <w:color w:val="auto"/>
                <w:sz w:val="24"/>
              </w:rPr>
            </w:pPr>
            <w:bookmarkStart w:id="56" w:name="_Toc21680"/>
            <w:r>
              <w:rPr>
                <w:b w:val="0"/>
                <w:color w:val="auto"/>
                <w:sz w:val="24"/>
              </w:rPr>
              <w:t>用途</w:t>
            </w:r>
            <w:bookmarkEnd w:id="56"/>
          </w:p>
        </w:tc>
        <w:tc>
          <w:tcPr>
            <w:tcW w:w="822" w:type="dxa"/>
            <w:noWrap w:val="0"/>
            <w:vAlign w:val="center"/>
          </w:tcPr>
          <w:p>
            <w:pPr>
              <w:pStyle w:val="51"/>
              <w:jc w:val="center"/>
              <w:outlineLvl w:val="9"/>
              <w:rPr>
                <w:b w:val="0"/>
                <w:color w:val="auto"/>
                <w:sz w:val="24"/>
              </w:rPr>
            </w:pPr>
            <w:bookmarkStart w:id="57" w:name="_Toc8520"/>
            <w:r>
              <w:rPr>
                <w:b w:val="0"/>
                <w:color w:val="auto"/>
                <w:sz w:val="24"/>
              </w:rPr>
              <w:t>工作场所</w:t>
            </w:r>
            <w:bookmarkEnd w:id="57"/>
          </w:p>
        </w:tc>
        <w:tc>
          <w:tcPr>
            <w:tcW w:w="1343" w:type="dxa"/>
            <w:noWrap w:val="0"/>
            <w:vAlign w:val="center"/>
          </w:tcPr>
          <w:p>
            <w:pPr>
              <w:pStyle w:val="51"/>
              <w:jc w:val="center"/>
              <w:outlineLvl w:val="9"/>
              <w:rPr>
                <w:b w:val="0"/>
                <w:color w:val="auto"/>
                <w:sz w:val="24"/>
              </w:rPr>
            </w:pPr>
            <w:bookmarkStart w:id="58" w:name="_Toc15546"/>
            <w:r>
              <w:rPr>
                <w:b w:val="0"/>
                <w:color w:val="auto"/>
                <w:sz w:val="24"/>
              </w:rPr>
              <w:t>备注</w:t>
            </w:r>
            <w:bookmarkEnd w:id="58"/>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18" w:type="dxa"/>
            <w:noWrap w:val="0"/>
            <w:vAlign w:val="center"/>
          </w:tcPr>
          <w:p>
            <w:pPr>
              <w:pStyle w:val="51"/>
              <w:jc w:val="center"/>
              <w:outlineLvl w:val="9"/>
              <w:rPr>
                <w:b w:val="0"/>
                <w:color w:val="auto"/>
                <w:sz w:val="24"/>
              </w:rPr>
            </w:pPr>
            <w:bookmarkStart w:id="59" w:name="_Toc4774"/>
            <w:r>
              <w:rPr>
                <w:rFonts w:hint="eastAsia"/>
                <w:b w:val="0"/>
                <w:color w:val="auto"/>
                <w:sz w:val="24"/>
              </w:rPr>
              <w:t>/</w:t>
            </w:r>
            <w:bookmarkEnd w:id="59"/>
          </w:p>
        </w:tc>
        <w:tc>
          <w:tcPr>
            <w:tcW w:w="1275" w:type="dxa"/>
            <w:noWrap w:val="0"/>
            <w:vAlign w:val="center"/>
          </w:tcPr>
          <w:p>
            <w:pPr>
              <w:pStyle w:val="51"/>
              <w:jc w:val="center"/>
              <w:outlineLvl w:val="9"/>
              <w:rPr>
                <w:b w:val="0"/>
                <w:color w:val="auto"/>
                <w:sz w:val="24"/>
              </w:rPr>
            </w:pPr>
            <w:bookmarkStart w:id="60" w:name="_Toc21581"/>
            <w:r>
              <w:rPr>
                <w:b w:val="0"/>
                <w:color w:val="auto"/>
                <w:sz w:val="24"/>
              </w:rPr>
              <w:t>/</w:t>
            </w:r>
            <w:bookmarkEnd w:id="60"/>
          </w:p>
        </w:tc>
        <w:tc>
          <w:tcPr>
            <w:tcW w:w="850" w:type="dxa"/>
            <w:noWrap w:val="0"/>
            <w:vAlign w:val="center"/>
          </w:tcPr>
          <w:p>
            <w:pPr>
              <w:pStyle w:val="51"/>
              <w:jc w:val="center"/>
              <w:outlineLvl w:val="9"/>
              <w:rPr>
                <w:b w:val="0"/>
                <w:color w:val="auto"/>
                <w:sz w:val="24"/>
              </w:rPr>
            </w:pPr>
            <w:bookmarkStart w:id="61" w:name="_Toc20611"/>
            <w:r>
              <w:rPr>
                <w:b w:val="0"/>
                <w:color w:val="auto"/>
                <w:sz w:val="24"/>
              </w:rPr>
              <w:t>/</w:t>
            </w:r>
            <w:bookmarkEnd w:id="61"/>
          </w:p>
        </w:tc>
        <w:tc>
          <w:tcPr>
            <w:tcW w:w="880" w:type="dxa"/>
            <w:noWrap w:val="0"/>
            <w:vAlign w:val="center"/>
          </w:tcPr>
          <w:p>
            <w:pPr>
              <w:pStyle w:val="51"/>
              <w:jc w:val="center"/>
              <w:outlineLvl w:val="9"/>
              <w:rPr>
                <w:b w:val="0"/>
                <w:color w:val="auto"/>
                <w:sz w:val="24"/>
              </w:rPr>
            </w:pPr>
            <w:bookmarkStart w:id="62" w:name="_Toc13837"/>
            <w:r>
              <w:rPr>
                <w:b w:val="0"/>
                <w:color w:val="auto"/>
                <w:sz w:val="24"/>
              </w:rPr>
              <w:t>/</w:t>
            </w:r>
            <w:bookmarkEnd w:id="62"/>
          </w:p>
        </w:tc>
        <w:tc>
          <w:tcPr>
            <w:tcW w:w="1417" w:type="dxa"/>
            <w:noWrap w:val="0"/>
            <w:vAlign w:val="center"/>
          </w:tcPr>
          <w:p>
            <w:pPr>
              <w:pStyle w:val="51"/>
              <w:jc w:val="center"/>
              <w:outlineLvl w:val="9"/>
              <w:rPr>
                <w:b w:val="0"/>
                <w:color w:val="auto"/>
                <w:sz w:val="24"/>
              </w:rPr>
            </w:pPr>
            <w:bookmarkStart w:id="63" w:name="_Toc24024"/>
            <w:r>
              <w:rPr>
                <w:b w:val="0"/>
                <w:color w:val="auto"/>
                <w:sz w:val="24"/>
              </w:rPr>
              <w:t>/</w:t>
            </w:r>
            <w:bookmarkEnd w:id="63"/>
          </w:p>
        </w:tc>
        <w:tc>
          <w:tcPr>
            <w:tcW w:w="1701" w:type="dxa"/>
            <w:noWrap w:val="0"/>
            <w:vAlign w:val="center"/>
          </w:tcPr>
          <w:p>
            <w:pPr>
              <w:pStyle w:val="51"/>
              <w:jc w:val="center"/>
              <w:outlineLvl w:val="9"/>
              <w:rPr>
                <w:b w:val="0"/>
                <w:color w:val="auto"/>
                <w:sz w:val="24"/>
              </w:rPr>
            </w:pPr>
            <w:bookmarkStart w:id="64" w:name="_Toc26733"/>
            <w:r>
              <w:rPr>
                <w:b w:val="0"/>
                <w:color w:val="auto"/>
                <w:sz w:val="24"/>
              </w:rPr>
              <w:t>/</w:t>
            </w:r>
            <w:bookmarkEnd w:id="64"/>
          </w:p>
        </w:tc>
        <w:tc>
          <w:tcPr>
            <w:tcW w:w="1985" w:type="dxa"/>
            <w:noWrap w:val="0"/>
            <w:vAlign w:val="center"/>
          </w:tcPr>
          <w:p>
            <w:pPr>
              <w:pStyle w:val="51"/>
              <w:jc w:val="center"/>
              <w:outlineLvl w:val="9"/>
              <w:rPr>
                <w:b w:val="0"/>
                <w:color w:val="auto"/>
                <w:sz w:val="24"/>
              </w:rPr>
            </w:pPr>
            <w:bookmarkStart w:id="65" w:name="_Toc24897"/>
            <w:r>
              <w:rPr>
                <w:b w:val="0"/>
                <w:color w:val="auto"/>
                <w:sz w:val="24"/>
              </w:rPr>
              <w:t>/</w:t>
            </w:r>
            <w:bookmarkEnd w:id="65"/>
          </w:p>
        </w:tc>
        <w:tc>
          <w:tcPr>
            <w:tcW w:w="2400" w:type="dxa"/>
            <w:noWrap w:val="0"/>
            <w:vAlign w:val="center"/>
          </w:tcPr>
          <w:p>
            <w:pPr>
              <w:pStyle w:val="51"/>
              <w:jc w:val="center"/>
              <w:outlineLvl w:val="9"/>
              <w:rPr>
                <w:b w:val="0"/>
                <w:color w:val="auto"/>
                <w:sz w:val="24"/>
              </w:rPr>
            </w:pPr>
            <w:bookmarkStart w:id="66" w:name="_Toc4543"/>
            <w:r>
              <w:rPr>
                <w:b w:val="0"/>
                <w:color w:val="auto"/>
                <w:sz w:val="24"/>
              </w:rPr>
              <w:t>/</w:t>
            </w:r>
            <w:bookmarkEnd w:id="66"/>
          </w:p>
        </w:tc>
        <w:tc>
          <w:tcPr>
            <w:tcW w:w="821" w:type="dxa"/>
            <w:noWrap w:val="0"/>
            <w:vAlign w:val="center"/>
          </w:tcPr>
          <w:p>
            <w:pPr>
              <w:pStyle w:val="51"/>
              <w:jc w:val="center"/>
              <w:outlineLvl w:val="9"/>
              <w:rPr>
                <w:b w:val="0"/>
                <w:color w:val="auto"/>
                <w:sz w:val="24"/>
              </w:rPr>
            </w:pPr>
            <w:bookmarkStart w:id="67" w:name="_Toc16707"/>
            <w:r>
              <w:rPr>
                <w:b w:val="0"/>
                <w:color w:val="auto"/>
                <w:sz w:val="24"/>
              </w:rPr>
              <w:t>/</w:t>
            </w:r>
            <w:bookmarkEnd w:id="67"/>
          </w:p>
        </w:tc>
        <w:tc>
          <w:tcPr>
            <w:tcW w:w="822" w:type="dxa"/>
            <w:noWrap w:val="0"/>
            <w:vAlign w:val="center"/>
          </w:tcPr>
          <w:p>
            <w:pPr>
              <w:pStyle w:val="51"/>
              <w:jc w:val="center"/>
              <w:outlineLvl w:val="9"/>
              <w:rPr>
                <w:b w:val="0"/>
                <w:color w:val="auto"/>
                <w:sz w:val="24"/>
              </w:rPr>
            </w:pPr>
            <w:bookmarkStart w:id="68" w:name="_Toc31217"/>
            <w:r>
              <w:rPr>
                <w:b w:val="0"/>
                <w:color w:val="auto"/>
                <w:sz w:val="24"/>
              </w:rPr>
              <w:t>/</w:t>
            </w:r>
            <w:bookmarkEnd w:id="68"/>
          </w:p>
        </w:tc>
        <w:tc>
          <w:tcPr>
            <w:tcW w:w="1343" w:type="dxa"/>
            <w:noWrap w:val="0"/>
            <w:vAlign w:val="center"/>
          </w:tcPr>
          <w:p>
            <w:pPr>
              <w:pStyle w:val="51"/>
              <w:jc w:val="center"/>
              <w:outlineLvl w:val="9"/>
              <w:rPr>
                <w:b w:val="0"/>
                <w:color w:val="auto"/>
                <w:sz w:val="24"/>
              </w:rPr>
            </w:pPr>
            <w:bookmarkStart w:id="69" w:name="_Toc7082"/>
            <w:r>
              <w:rPr>
                <w:b w:val="0"/>
                <w:color w:val="auto"/>
                <w:sz w:val="24"/>
              </w:rPr>
              <w:t>/</w:t>
            </w:r>
            <w:bookmarkEnd w:id="69"/>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18" w:type="dxa"/>
            <w:noWrap w:val="0"/>
            <w:vAlign w:val="center"/>
          </w:tcPr>
          <w:p>
            <w:pPr>
              <w:pStyle w:val="51"/>
              <w:jc w:val="center"/>
              <w:outlineLvl w:val="9"/>
              <w:rPr>
                <w:b w:val="0"/>
                <w:color w:val="auto"/>
                <w:sz w:val="24"/>
              </w:rPr>
            </w:pPr>
          </w:p>
        </w:tc>
        <w:tc>
          <w:tcPr>
            <w:tcW w:w="1275" w:type="dxa"/>
            <w:noWrap w:val="0"/>
            <w:vAlign w:val="center"/>
          </w:tcPr>
          <w:p>
            <w:pPr>
              <w:pStyle w:val="51"/>
              <w:jc w:val="center"/>
              <w:outlineLvl w:val="9"/>
              <w:rPr>
                <w:b w:val="0"/>
                <w:color w:val="auto"/>
                <w:sz w:val="24"/>
              </w:rPr>
            </w:pPr>
          </w:p>
        </w:tc>
        <w:tc>
          <w:tcPr>
            <w:tcW w:w="850" w:type="dxa"/>
            <w:noWrap w:val="0"/>
            <w:vAlign w:val="center"/>
          </w:tcPr>
          <w:p>
            <w:pPr>
              <w:pStyle w:val="51"/>
              <w:jc w:val="center"/>
              <w:outlineLvl w:val="9"/>
              <w:rPr>
                <w:b w:val="0"/>
                <w:color w:val="auto"/>
                <w:sz w:val="24"/>
              </w:rPr>
            </w:pPr>
          </w:p>
        </w:tc>
        <w:tc>
          <w:tcPr>
            <w:tcW w:w="880" w:type="dxa"/>
            <w:noWrap w:val="0"/>
            <w:vAlign w:val="center"/>
          </w:tcPr>
          <w:p>
            <w:pPr>
              <w:pStyle w:val="51"/>
              <w:jc w:val="center"/>
              <w:outlineLvl w:val="9"/>
              <w:rPr>
                <w:b w:val="0"/>
                <w:color w:val="auto"/>
                <w:sz w:val="24"/>
              </w:rPr>
            </w:pPr>
          </w:p>
        </w:tc>
        <w:tc>
          <w:tcPr>
            <w:tcW w:w="1417" w:type="dxa"/>
            <w:noWrap w:val="0"/>
            <w:vAlign w:val="center"/>
          </w:tcPr>
          <w:p>
            <w:pPr>
              <w:pStyle w:val="51"/>
              <w:jc w:val="center"/>
              <w:outlineLvl w:val="9"/>
              <w:rPr>
                <w:b w:val="0"/>
                <w:color w:val="auto"/>
                <w:sz w:val="24"/>
              </w:rPr>
            </w:pPr>
          </w:p>
        </w:tc>
        <w:tc>
          <w:tcPr>
            <w:tcW w:w="1701" w:type="dxa"/>
            <w:noWrap w:val="0"/>
            <w:vAlign w:val="center"/>
          </w:tcPr>
          <w:p>
            <w:pPr>
              <w:pStyle w:val="51"/>
              <w:jc w:val="center"/>
              <w:outlineLvl w:val="9"/>
              <w:rPr>
                <w:b w:val="0"/>
                <w:color w:val="auto"/>
                <w:sz w:val="24"/>
              </w:rPr>
            </w:pPr>
          </w:p>
        </w:tc>
        <w:tc>
          <w:tcPr>
            <w:tcW w:w="1985" w:type="dxa"/>
            <w:noWrap w:val="0"/>
            <w:vAlign w:val="center"/>
          </w:tcPr>
          <w:p>
            <w:pPr>
              <w:pStyle w:val="51"/>
              <w:jc w:val="center"/>
              <w:outlineLvl w:val="9"/>
              <w:rPr>
                <w:b w:val="0"/>
                <w:color w:val="auto"/>
                <w:sz w:val="24"/>
              </w:rPr>
            </w:pPr>
          </w:p>
        </w:tc>
        <w:tc>
          <w:tcPr>
            <w:tcW w:w="2400" w:type="dxa"/>
            <w:noWrap w:val="0"/>
            <w:vAlign w:val="center"/>
          </w:tcPr>
          <w:p>
            <w:pPr>
              <w:pStyle w:val="51"/>
              <w:jc w:val="center"/>
              <w:outlineLvl w:val="9"/>
              <w:rPr>
                <w:b w:val="0"/>
                <w:color w:val="auto"/>
                <w:sz w:val="24"/>
              </w:rPr>
            </w:pPr>
          </w:p>
        </w:tc>
        <w:tc>
          <w:tcPr>
            <w:tcW w:w="821" w:type="dxa"/>
            <w:noWrap w:val="0"/>
            <w:vAlign w:val="center"/>
          </w:tcPr>
          <w:p>
            <w:pPr>
              <w:pStyle w:val="51"/>
              <w:jc w:val="center"/>
              <w:outlineLvl w:val="9"/>
              <w:rPr>
                <w:b w:val="0"/>
                <w:color w:val="auto"/>
                <w:sz w:val="24"/>
              </w:rPr>
            </w:pPr>
          </w:p>
        </w:tc>
        <w:tc>
          <w:tcPr>
            <w:tcW w:w="822" w:type="dxa"/>
            <w:noWrap w:val="0"/>
            <w:vAlign w:val="center"/>
          </w:tcPr>
          <w:p>
            <w:pPr>
              <w:pStyle w:val="51"/>
              <w:jc w:val="center"/>
              <w:outlineLvl w:val="9"/>
              <w:rPr>
                <w:b w:val="0"/>
                <w:color w:val="auto"/>
                <w:sz w:val="24"/>
              </w:rPr>
            </w:pPr>
          </w:p>
        </w:tc>
        <w:tc>
          <w:tcPr>
            <w:tcW w:w="1343" w:type="dxa"/>
            <w:noWrap w:val="0"/>
            <w:vAlign w:val="center"/>
          </w:tcPr>
          <w:p>
            <w:pPr>
              <w:pStyle w:val="51"/>
              <w:jc w:val="center"/>
              <w:outlineLvl w:val="9"/>
              <w:rPr>
                <w:b w:val="0"/>
                <w:color w:val="auto"/>
                <w:sz w:val="24"/>
              </w:rPr>
            </w:pPr>
          </w:p>
        </w:tc>
      </w:tr>
    </w:tbl>
    <w:p>
      <w:pPr>
        <w:pStyle w:val="47"/>
        <w:ind w:firstLine="482"/>
        <w:rPr>
          <w:b/>
          <w:color w:val="auto"/>
        </w:rPr>
      </w:pPr>
      <w:r>
        <w:rPr>
          <w:b/>
          <w:color w:val="auto"/>
        </w:rPr>
        <w:t>（二）</w:t>
      </w:r>
      <w:r>
        <w:rPr>
          <w:color w:val="auto"/>
        </w:rPr>
        <w:t>X射线机，包括工业探伤、医用诊断和治疗、分析等用途</w:t>
      </w:r>
    </w:p>
    <w:tbl>
      <w:tblPr>
        <w:tblStyle w:val="23"/>
        <w:tblW w:w="143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8"/>
        <w:gridCol w:w="2031"/>
        <w:gridCol w:w="957"/>
        <w:gridCol w:w="675"/>
        <w:gridCol w:w="1181"/>
        <w:gridCol w:w="1279"/>
        <w:gridCol w:w="1985"/>
        <w:gridCol w:w="2126"/>
        <w:gridCol w:w="2410"/>
        <w:gridCol w:w="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8" w:type="dxa"/>
            <w:noWrap w:val="0"/>
            <w:vAlign w:val="center"/>
          </w:tcPr>
          <w:p>
            <w:pPr>
              <w:pStyle w:val="51"/>
              <w:jc w:val="center"/>
              <w:outlineLvl w:val="9"/>
              <w:rPr>
                <w:b w:val="0"/>
                <w:color w:val="auto"/>
                <w:sz w:val="24"/>
              </w:rPr>
            </w:pPr>
            <w:bookmarkStart w:id="70" w:name="_Toc12004"/>
            <w:r>
              <w:rPr>
                <w:b w:val="0"/>
                <w:color w:val="auto"/>
                <w:sz w:val="24"/>
              </w:rPr>
              <w:t>序号</w:t>
            </w:r>
            <w:bookmarkEnd w:id="70"/>
          </w:p>
        </w:tc>
        <w:tc>
          <w:tcPr>
            <w:tcW w:w="2031" w:type="dxa"/>
            <w:noWrap w:val="0"/>
            <w:vAlign w:val="center"/>
          </w:tcPr>
          <w:p>
            <w:pPr>
              <w:pStyle w:val="51"/>
              <w:jc w:val="center"/>
              <w:outlineLvl w:val="9"/>
              <w:rPr>
                <w:b w:val="0"/>
                <w:color w:val="auto"/>
                <w:sz w:val="24"/>
              </w:rPr>
            </w:pPr>
            <w:bookmarkStart w:id="71" w:name="_Toc14579"/>
            <w:r>
              <w:rPr>
                <w:b w:val="0"/>
                <w:color w:val="auto"/>
                <w:sz w:val="24"/>
              </w:rPr>
              <w:t>名称</w:t>
            </w:r>
            <w:bookmarkEnd w:id="71"/>
          </w:p>
        </w:tc>
        <w:tc>
          <w:tcPr>
            <w:tcW w:w="957" w:type="dxa"/>
            <w:noWrap w:val="0"/>
            <w:vAlign w:val="center"/>
          </w:tcPr>
          <w:p>
            <w:pPr>
              <w:pStyle w:val="51"/>
              <w:jc w:val="center"/>
              <w:outlineLvl w:val="9"/>
              <w:rPr>
                <w:b w:val="0"/>
                <w:color w:val="auto"/>
                <w:sz w:val="24"/>
              </w:rPr>
            </w:pPr>
            <w:bookmarkStart w:id="72" w:name="_Toc2240"/>
            <w:r>
              <w:rPr>
                <w:b w:val="0"/>
                <w:color w:val="auto"/>
                <w:sz w:val="24"/>
              </w:rPr>
              <w:t>类别</w:t>
            </w:r>
            <w:bookmarkEnd w:id="72"/>
          </w:p>
        </w:tc>
        <w:tc>
          <w:tcPr>
            <w:tcW w:w="675" w:type="dxa"/>
            <w:noWrap w:val="0"/>
            <w:vAlign w:val="center"/>
          </w:tcPr>
          <w:p>
            <w:pPr>
              <w:pStyle w:val="51"/>
              <w:jc w:val="center"/>
              <w:outlineLvl w:val="9"/>
              <w:rPr>
                <w:b w:val="0"/>
                <w:color w:val="auto"/>
                <w:sz w:val="24"/>
              </w:rPr>
            </w:pPr>
            <w:bookmarkStart w:id="73" w:name="_Toc25562"/>
            <w:r>
              <w:rPr>
                <w:b w:val="0"/>
                <w:color w:val="auto"/>
                <w:sz w:val="24"/>
              </w:rPr>
              <w:t>数量</w:t>
            </w:r>
            <w:bookmarkEnd w:id="73"/>
          </w:p>
        </w:tc>
        <w:tc>
          <w:tcPr>
            <w:tcW w:w="1181" w:type="dxa"/>
            <w:noWrap w:val="0"/>
            <w:vAlign w:val="center"/>
          </w:tcPr>
          <w:p>
            <w:pPr>
              <w:pStyle w:val="51"/>
              <w:jc w:val="center"/>
              <w:outlineLvl w:val="9"/>
              <w:rPr>
                <w:b w:val="0"/>
                <w:color w:val="auto"/>
                <w:sz w:val="24"/>
              </w:rPr>
            </w:pPr>
            <w:bookmarkStart w:id="74" w:name="_Toc30137"/>
            <w:r>
              <w:rPr>
                <w:b w:val="0"/>
                <w:color w:val="auto"/>
                <w:sz w:val="24"/>
              </w:rPr>
              <w:t>型号</w:t>
            </w:r>
            <w:bookmarkEnd w:id="74"/>
          </w:p>
        </w:tc>
        <w:tc>
          <w:tcPr>
            <w:tcW w:w="1279" w:type="dxa"/>
            <w:noWrap w:val="0"/>
            <w:vAlign w:val="center"/>
          </w:tcPr>
          <w:p>
            <w:pPr>
              <w:pStyle w:val="51"/>
              <w:jc w:val="center"/>
              <w:outlineLvl w:val="9"/>
              <w:rPr>
                <w:b w:val="0"/>
                <w:color w:val="auto"/>
                <w:sz w:val="24"/>
              </w:rPr>
            </w:pPr>
            <w:bookmarkStart w:id="75" w:name="_Toc3716"/>
            <w:r>
              <w:rPr>
                <w:b w:val="0"/>
                <w:color w:val="auto"/>
                <w:sz w:val="24"/>
              </w:rPr>
              <w:t>最大管电压（kV）</w:t>
            </w:r>
            <w:bookmarkEnd w:id="75"/>
          </w:p>
        </w:tc>
        <w:tc>
          <w:tcPr>
            <w:tcW w:w="1985" w:type="dxa"/>
            <w:noWrap w:val="0"/>
            <w:vAlign w:val="center"/>
          </w:tcPr>
          <w:p>
            <w:pPr>
              <w:pStyle w:val="51"/>
              <w:jc w:val="center"/>
              <w:outlineLvl w:val="9"/>
              <w:rPr>
                <w:b w:val="0"/>
                <w:color w:val="auto"/>
                <w:sz w:val="24"/>
              </w:rPr>
            </w:pPr>
            <w:bookmarkStart w:id="76" w:name="_Toc28954"/>
            <w:r>
              <w:rPr>
                <w:b w:val="0"/>
                <w:color w:val="auto"/>
                <w:sz w:val="24"/>
              </w:rPr>
              <w:t>最大管电流</w:t>
            </w:r>
            <w:bookmarkEnd w:id="76"/>
          </w:p>
          <w:p>
            <w:pPr>
              <w:pStyle w:val="51"/>
              <w:jc w:val="center"/>
              <w:outlineLvl w:val="9"/>
              <w:rPr>
                <w:b w:val="0"/>
                <w:color w:val="auto"/>
                <w:sz w:val="24"/>
              </w:rPr>
            </w:pPr>
            <w:bookmarkStart w:id="77" w:name="_Toc14820"/>
            <w:r>
              <w:rPr>
                <w:b w:val="0"/>
                <w:color w:val="auto"/>
                <w:sz w:val="24"/>
              </w:rPr>
              <w:t>（mA）</w:t>
            </w:r>
            <w:bookmarkEnd w:id="77"/>
          </w:p>
        </w:tc>
        <w:tc>
          <w:tcPr>
            <w:tcW w:w="2126" w:type="dxa"/>
            <w:noWrap w:val="0"/>
            <w:vAlign w:val="center"/>
          </w:tcPr>
          <w:p>
            <w:pPr>
              <w:pStyle w:val="51"/>
              <w:jc w:val="center"/>
              <w:outlineLvl w:val="9"/>
              <w:rPr>
                <w:b w:val="0"/>
                <w:color w:val="auto"/>
                <w:sz w:val="24"/>
              </w:rPr>
            </w:pPr>
            <w:bookmarkStart w:id="78" w:name="_Toc26517"/>
            <w:r>
              <w:rPr>
                <w:b w:val="0"/>
                <w:color w:val="auto"/>
                <w:sz w:val="24"/>
              </w:rPr>
              <w:t>用途</w:t>
            </w:r>
            <w:bookmarkEnd w:id="78"/>
          </w:p>
        </w:tc>
        <w:tc>
          <w:tcPr>
            <w:tcW w:w="2410" w:type="dxa"/>
            <w:noWrap w:val="0"/>
            <w:vAlign w:val="center"/>
          </w:tcPr>
          <w:p>
            <w:pPr>
              <w:pStyle w:val="51"/>
              <w:jc w:val="center"/>
              <w:outlineLvl w:val="9"/>
              <w:rPr>
                <w:b w:val="0"/>
                <w:color w:val="auto"/>
                <w:sz w:val="24"/>
              </w:rPr>
            </w:pPr>
            <w:bookmarkStart w:id="79" w:name="_Toc31043"/>
            <w:r>
              <w:rPr>
                <w:b w:val="0"/>
                <w:color w:val="auto"/>
                <w:sz w:val="24"/>
              </w:rPr>
              <w:t>工作场所</w:t>
            </w:r>
            <w:bookmarkEnd w:id="79"/>
          </w:p>
        </w:tc>
        <w:tc>
          <w:tcPr>
            <w:tcW w:w="850" w:type="dxa"/>
            <w:noWrap w:val="0"/>
            <w:vAlign w:val="center"/>
          </w:tcPr>
          <w:p>
            <w:pPr>
              <w:pStyle w:val="51"/>
              <w:jc w:val="center"/>
              <w:outlineLvl w:val="9"/>
              <w:rPr>
                <w:b w:val="0"/>
                <w:color w:val="auto"/>
                <w:sz w:val="24"/>
              </w:rPr>
            </w:pPr>
            <w:bookmarkStart w:id="80" w:name="_Toc6953"/>
            <w:r>
              <w:rPr>
                <w:b w:val="0"/>
                <w:color w:val="auto"/>
                <w:sz w:val="24"/>
              </w:rPr>
              <w:t>备注</w:t>
            </w:r>
            <w:bookmarkEnd w:id="8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818" w:type="dxa"/>
            <w:noWrap w:val="0"/>
            <w:vAlign w:val="center"/>
          </w:tcPr>
          <w:p>
            <w:pPr>
              <w:pStyle w:val="53"/>
              <w:rPr>
                <w:color w:val="auto"/>
                <w:sz w:val="24"/>
                <w:szCs w:val="24"/>
              </w:rPr>
            </w:pPr>
            <w:r>
              <w:rPr>
                <w:color w:val="auto"/>
                <w:sz w:val="24"/>
                <w:szCs w:val="24"/>
              </w:rPr>
              <w:t>1</w:t>
            </w:r>
          </w:p>
        </w:tc>
        <w:tc>
          <w:tcPr>
            <w:tcW w:w="2031" w:type="dxa"/>
            <w:noWrap w:val="0"/>
            <w:vAlign w:val="center"/>
          </w:tcPr>
          <w:p>
            <w:pPr>
              <w:pStyle w:val="53"/>
              <w:rPr>
                <w:rFonts w:hint="eastAsia" w:eastAsia="宋体"/>
                <w:color w:val="auto"/>
                <w:sz w:val="24"/>
                <w:szCs w:val="24"/>
                <w:lang w:val="en-US" w:eastAsia="zh-CN"/>
              </w:rPr>
            </w:pPr>
            <w:r>
              <w:rPr>
                <w:rFonts w:hint="eastAsia" w:eastAsia="宋体"/>
                <w:color w:val="auto"/>
                <w:sz w:val="24"/>
                <w:szCs w:val="24"/>
                <w:lang w:val="en-US" w:eastAsia="zh-CN"/>
              </w:rPr>
              <w:t>X射线数字成像(DR)检测系统</w:t>
            </w:r>
          </w:p>
        </w:tc>
        <w:tc>
          <w:tcPr>
            <w:tcW w:w="957" w:type="dxa"/>
            <w:noWrap w:val="0"/>
            <w:vAlign w:val="center"/>
          </w:tcPr>
          <w:p>
            <w:pPr>
              <w:pStyle w:val="53"/>
              <w:rPr>
                <w:color w:val="auto"/>
                <w:sz w:val="24"/>
                <w:szCs w:val="24"/>
              </w:rPr>
            </w:pPr>
            <w:r>
              <w:rPr>
                <w:color w:val="auto"/>
                <w:sz w:val="24"/>
                <w:szCs w:val="24"/>
              </w:rPr>
              <w:t>II类</w:t>
            </w:r>
          </w:p>
        </w:tc>
        <w:tc>
          <w:tcPr>
            <w:tcW w:w="675" w:type="dxa"/>
            <w:noWrap w:val="0"/>
            <w:vAlign w:val="center"/>
          </w:tcPr>
          <w:p>
            <w:pPr>
              <w:pStyle w:val="53"/>
              <w:rPr>
                <w:color w:val="auto"/>
                <w:sz w:val="24"/>
                <w:szCs w:val="24"/>
              </w:rPr>
            </w:pPr>
            <w:r>
              <w:rPr>
                <w:color w:val="auto"/>
                <w:sz w:val="24"/>
                <w:szCs w:val="24"/>
              </w:rPr>
              <w:t>1</w:t>
            </w:r>
          </w:p>
        </w:tc>
        <w:tc>
          <w:tcPr>
            <w:tcW w:w="1181" w:type="dxa"/>
            <w:noWrap w:val="0"/>
            <w:vAlign w:val="center"/>
          </w:tcPr>
          <w:p>
            <w:pPr>
              <w:pStyle w:val="53"/>
              <w:rPr>
                <w:color w:val="auto"/>
                <w:sz w:val="24"/>
                <w:szCs w:val="24"/>
              </w:rPr>
            </w:pPr>
            <w:r>
              <w:rPr>
                <w:rFonts w:hint="eastAsia" w:eastAsia="宋体"/>
                <w:color w:val="auto"/>
                <w:sz w:val="24"/>
                <w:szCs w:val="24"/>
                <w:lang w:val="en-US" w:eastAsia="zh-CN"/>
              </w:rPr>
              <w:t>ZXFlasee S-450型</w:t>
            </w:r>
          </w:p>
        </w:tc>
        <w:tc>
          <w:tcPr>
            <w:tcW w:w="1279" w:type="dxa"/>
            <w:noWrap w:val="0"/>
            <w:vAlign w:val="center"/>
          </w:tcPr>
          <w:p>
            <w:pPr>
              <w:pStyle w:val="53"/>
              <w:rPr>
                <w:rFonts w:hint="default" w:eastAsia="宋体"/>
                <w:color w:val="auto"/>
                <w:sz w:val="24"/>
                <w:szCs w:val="24"/>
                <w:lang w:val="en-US" w:eastAsia="zh-CN"/>
              </w:rPr>
            </w:pPr>
            <w:r>
              <w:rPr>
                <w:rFonts w:hint="eastAsia"/>
                <w:color w:val="auto"/>
                <w:sz w:val="24"/>
                <w:szCs w:val="24"/>
                <w:lang w:val="en-US" w:eastAsia="zh-CN"/>
              </w:rPr>
              <w:t>450</w:t>
            </w:r>
          </w:p>
        </w:tc>
        <w:tc>
          <w:tcPr>
            <w:tcW w:w="1985" w:type="dxa"/>
            <w:noWrap w:val="0"/>
            <w:vAlign w:val="center"/>
          </w:tcPr>
          <w:p>
            <w:pPr>
              <w:pStyle w:val="53"/>
              <w:rPr>
                <w:rFonts w:hint="eastAsia" w:eastAsia="宋体"/>
                <w:color w:val="auto"/>
                <w:sz w:val="24"/>
                <w:szCs w:val="24"/>
                <w:lang w:val="en-US" w:eastAsia="zh-CN"/>
              </w:rPr>
            </w:pPr>
            <w:r>
              <w:rPr>
                <w:rFonts w:hint="eastAsia"/>
                <w:color w:val="auto"/>
                <w:sz w:val="24"/>
                <w:szCs w:val="24"/>
              </w:rPr>
              <w:t>3</w:t>
            </w:r>
            <w:r>
              <w:rPr>
                <w:rFonts w:hint="eastAsia"/>
                <w:color w:val="auto"/>
                <w:sz w:val="24"/>
                <w:szCs w:val="24"/>
                <w:lang w:val="en-US" w:eastAsia="zh-CN"/>
              </w:rPr>
              <w:t>0</w:t>
            </w:r>
          </w:p>
        </w:tc>
        <w:tc>
          <w:tcPr>
            <w:tcW w:w="2126" w:type="dxa"/>
            <w:noWrap w:val="0"/>
            <w:vAlign w:val="center"/>
          </w:tcPr>
          <w:p>
            <w:pPr>
              <w:pStyle w:val="53"/>
              <w:rPr>
                <w:color w:val="auto"/>
                <w:sz w:val="24"/>
                <w:szCs w:val="24"/>
              </w:rPr>
            </w:pPr>
            <w:r>
              <w:rPr>
                <w:rFonts w:hint="eastAsia"/>
                <w:color w:val="auto"/>
                <w:sz w:val="24"/>
                <w:szCs w:val="24"/>
              </w:rPr>
              <w:t>无损检测</w:t>
            </w:r>
          </w:p>
        </w:tc>
        <w:tc>
          <w:tcPr>
            <w:tcW w:w="2410" w:type="dxa"/>
            <w:noWrap w:val="0"/>
            <w:vAlign w:val="center"/>
          </w:tcPr>
          <w:p>
            <w:pPr>
              <w:pStyle w:val="53"/>
              <w:rPr>
                <w:color w:val="auto"/>
                <w:sz w:val="24"/>
                <w:szCs w:val="24"/>
              </w:rPr>
            </w:pPr>
            <w:r>
              <w:rPr>
                <w:rFonts w:hint="eastAsia"/>
                <w:color w:val="auto"/>
                <w:sz w:val="24"/>
                <w:szCs w:val="24"/>
              </w:rPr>
              <w:t>探伤室</w:t>
            </w:r>
          </w:p>
        </w:tc>
        <w:tc>
          <w:tcPr>
            <w:tcW w:w="850" w:type="dxa"/>
            <w:noWrap w:val="0"/>
            <w:vAlign w:val="center"/>
          </w:tcPr>
          <w:p>
            <w:pPr>
              <w:pStyle w:val="53"/>
              <w:rPr>
                <w:color w:val="auto"/>
                <w:sz w:val="24"/>
                <w:szCs w:val="24"/>
              </w:rPr>
            </w:pPr>
            <w:r>
              <w:rPr>
                <w:rFonts w:hint="eastAsia"/>
                <w:color w:val="auto"/>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818" w:type="dxa"/>
            <w:noWrap w:val="0"/>
            <w:vAlign w:val="center"/>
          </w:tcPr>
          <w:p>
            <w:pPr>
              <w:pStyle w:val="51"/>
              <w:jc w:val="center"/>
              <w:outlineLvl w:val="9"/>
              <w:rPr>
                <w:b w:val="0"/>
                <w:color w:val="auto"/>
                <w:sz w:val="24"/>
              </w:rPr>
            </w:pPr>
          </w:p>
        </w:tc>
        <w:tc>
          <w:tcPr>
            <w:tcW w:w="2031" w:type="dxa"/>
            <w:noWrap w:val="0"/>
            <w:vAlign w:val="center"/>
          </w:tcPr>
          <w:p>
            <w:pPr>
              <w:pStyle w:val="51"/>
              <w:jc w:val="center"/>
              <w:outlineLvl w:val="9"/>
              <w:rPr>
                <w:b w:val="0"/>
                <w:color w:val="auto"/>
                <w:sz w:val="24"/>
              </w:rPr>
            </w:pPr>
          </w:p>
        </w:tc>
        <w:tc>
          <w:tcPr>
            <w:tcW w:w="957" w:type="dxa"/>
            <w:noWrap w:val="0"/>
            <w:vAlign w:val="center"/>
          </w:tcPr>
          <w:p>
            <w:pPr>
              <w:pStyle w:val="51"/>
              <w:jc w:val="center"/>
              <w:outlineLvl w:val="9"/>
              <w:rPr>
                <w:b w:val="0"/>
                <w:color w:val="auto"/>
                <w:sz w:val="24"/>
              </w:rPr>
            </w:pPr>
          </w:p>
        </w:tc>
        <w:tc>
          <w:tcPr>
            <w:tcW w:w="675" w:type="dxa"/>
            <w:noWrap w:val="0"/>
            <w:vAlign w:val="center"/>
          </w:tcPr>
          <w:p>
            <w:pPr>
              <w:pStyle w:val="51"/>
              <w:jc w:val="center"/>
              <w:outlineLvl w:val="9"/>
              <w:rPr>
                <w:b w:val="0"/>
                <w:color w:val="auto"/>
                <w:sz w:val="24"/>
              </w:rPr>
            </w:pPr>
          </w:p>
        </w:tc>
        <w:tc>
          <w:tcPr>
            <w:tcW w:w="1181" w:type="dxa"/>
            <w:noWrap w:val="0"/>
            <w:vAlign w:val="center"/>
          </w:tcPr>
          <w:p>
            <w:pPr>
              <w:pStyle w:val="51"/>
              <w:jc w:val="center"/>
              <w:outlineLvl w:val="9"/>
              <w:rPr>
                <w:b w:val="0"/>
                <w:color w:val="auto"/>
                <w:sz w:val="24"/>
              </w:rPr>
            </w:pPr>
          </w:p>
        </w:tc>
        <w:tc>
          <w:tcPr>
            <w:tcW w:w="1279" w:type="dxa"/>
            <w:noWrap w:val="0"/>
            <w:vAlign w:val="center"/>
          </w:tcPr>
          <w:p>
            <w:pPr>
              <w:pStyle w:val="51"/>
              <w:jc w:val="center"/>
              <w:outlineLvl w:val="9"/>
              <w:rPr>
                <w:b w:val="0"/>
                <w:color w:val="auto"/>
                <w:sz w:val="24"/>
              </w:rPr>
            </w:pPr>
          </w:p>
        </w:tc>
        <w:tc>
          <w:tcPr>
            <w:tcW w:w="1985" w:type="dxa"/>
            <w:noWrap w:val="0"/>
            <w:vAlign w:val="center"/>
          </w:tcPr>
          <w:p>
            <w:pPr>
              <w:pStyle w:val="51"/>
              <w:jc w:val="center"/>
              <w:outlineLvl w:val="9"/>
              <w:rPr>
                <w:b w:val="0"/>
                <w:color w:val="auto"/>
                <w:sz w:val="24"/>
              </w:rPr>
            </w:pPr>
          </w:p>
        </w:tc>
        <w:tc>
          <w:tcPr>
            <w:tcW w:w="2126" w:type="dxa"/>
            <w:noWrap w:val="0"/>
            <w:vAlign w:val="center"/>
          </w:tcPr>
          <w:p>
            <w:pPr>
              <w:pStyle w:val="51"/>
              <w:jc w:val="center"/>
              <w:outlineLvl w:val="9"/>
              <w:rPr>
                <w:b w:val="0"/>
                <w:color w:val="auto"/>
                <w:sz w:val="24"/>
              </w:rPr>
            </w:pPr>
          </w:p>
        </w:tc>
        <w:tc>
          <w:tcPr>
            <w:tcW w:w="2410" w:type="dxa"/>
            <w:noWrap w:val="0"/>
            <w:vAlign w:val="center"/>
          </w:tcPr>
          <w:p>
            <w:pPr>
              <w:pStyle w:val="51"/>
              <w:jc w:val="center"/>
              <w:outlineLvl w:val="9"/>
              <w:rPr>
                <w:b w:val="0"/>
                <w:color w:val="auto"/>
                <w:sz w:val="24"/>
              </w:rPr>
            </w:pPr>
          </w:p>
        </w:tc>
        <w:tc>
          <w:tcPr>
            <w:tcW w:w="850" w:type="dxa"/>
            <w:noWrap w:val="0"/>
            <w:vAlign w:val="center"/>
          </w:tcPr>
          <w:p>
            <w:pPr>
              <w:pStyle w:val="51"/>
              <w:jc w:val="center"/>
              <w:outlineLvl w:val="9"/>
              <w:rPr>
                <w:b w:val="0"/>
                <w:color w:val="auto"/>
                <w:sz w:val="24"/>
              </w:rPr>
            </w:pPr>
          </w:p>
        </w:tc>
      </w:tr>
    </w:tbl>
    <w:p>
      <w:pPr>
        <w:pStyle w:val="47"/>
        <w:rPr>
          <w:color w:val="auto"/>
        </w:rPr>
      </w:pPr>
      <w:r>
        <w:rPr>
          <w:color w:val="auto"/>
        </w:rPr>
        <w:t>（三）加速器：包括医用、工农业、科研、教学等用途的各种类型加速器</w:t>
      </w:r>
    </w:p>
    <w:tbl>
      <w:tblPr>
        <w:tblStyle w:val="23"/>
        <w:tblW w:w="143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418"/>
        <w:gridCol w:w="567"/>
        <w:gridCol w:w="563"/>
        <w:gridCol w:w="883"/>
        <w:gridCol w:w="1418"/>
        <w:gridCol w:w="1496"/>
        <w:gridCol w:w="1197"/>
        <w:gridCol w:w="1276"/>
        <w:gridCol w:w="1275"/>
        <w:gridCol w:w="906"/>
        <w:gridCol w:w="1221"/>
        <w:gridCol w:w="708"/>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675" w:type="dxa"/>
            <w:vMerge w:val="restart"/>
            <w:noWrap w:val="0"/>
            <w:vAlign w:val="center"/>
          </w:tcPr>
          <w:p>
            <w:pPr>
              <w:pStyle w:val="51"/>
              <w:jc w:val="center"/>
              <w:outlineLvl w:val="9"/>
              <w:rPr>
                <w:b w:val="0"/>
                <w:color w:val="auto"/>
                <w:sz w:val="24"/>
              </w:rPr>
            </w:pPr>
            <w:bookmarkStart w:id="81" w:name="_Toc31511"/>
            <w:r>
              <w:rPr>
                <w:b w:val="0"/>
                <w:color w:val="auto"/>
                <w:sz w:val="24"/>
              </w:rPr>
              <w:t>序号</w:t>
            </w:r>
            <w:bookmarkEnd w:id="81"/>
          </w:p>
        </w:tc>
        <w:tc>
          <w:tcPr>
            <w:tcW w:w="1418" w:type="dxa"/>
            <w:vMerge w:val="restart"/>
            <w:noWrap w:val="0"/>
            <w:vAlign w:val="center"/>
          </w:tcPr>
          <w:p>
            <w:pPr>
              <w:pStyle w:val="51"/>
              <w:jc w:val="center"/>
              <w:outlineLvl w:val="9"/>
              <w:rPr>
                <w:b w:val="0"/>
                <w:color w:val="auto"/>
                <w:sz w:val="24"/>
              </w:rPr>
            </w:pPr>
            <w:bookmarkStart w:id="82" w:name="_Toc27420"/>
            <w:r>
              <w:rPr>
                <w:b w:val="0"/>
                <w:color w:val="auto"/>
                <w:sz w:val="24"/>
              </w:rPr>
              <w:t>名称</w:t>
            </w:r>
            <w:bookmarkEnd w:id="82"/>
          </w:p>
        </w:tc>
        <w:tc>
          <w:tcPr>
            <w:tcW w:w="567" w:type="dxa"/>
            <w:vMerge w:val="restart"/>
            <w:noWrap w:val="0"/>
            <w:vAlign w:val="center"/>
          </w:tcPr>
          <w:p>
            <w:pPr>
              <w:pStyle w:val="51"/>
              <w:jc w:val="center"/>
              <w:outlineLvl w:val="9"/>
              <w:rPr>
                <w:b w:val="0"/>
                <w:color w:val="auto"/>
                <w:sz w:val="24"/>
              </w:rPr>
            </w:pPr>
            <w:bookmarkStart w:id="83" w:name="_Toc2448"/>
            <w:r>
              <w:rPr>
                <w:b w:val="0"/>
                <w:color w:val="auto"/>
                <w:sz w:val="24"/>
              </w:rPr>
              <w:t>类别</w:t>
            </w:r>
            <w:bookmarkEnd w:id="83"/>
          </w:p>
        </w:tc>
        <w:tc>
          <w:tcPr>
            <w:tcW w:w="563" w:type="dxa"/>
            <w:vMerge w:val="restart"/>
            <w:noWrap w:val="0"/>
            <w:vAlign w:val="center"/>
          </w:tcPr>
          <w:p>
            <w:pPr>
              <w:pStyle w:val="51"/>
              <w:jc w:val="center"/>
              <w:outlineLvl w:val="9"/>
              <w:rPr>
                <w:b w:val="0"/>
                <w:color w:val="auto"/>
                <w:sz w:val="24"/>
              </w:rPr>
            </w:pPr>
            <w:bookmarkStart w:id="84" w:name="_Toc18649"/>
            <w:r>
              <w:rPr>
                <w:b w:val="0"/>
                <w:color w:val="auto"/>
                <w:sz w:val="24"/>
              </w:rPr>
              <w:t>数量</w:t>
            </w:r>
            <w:bookmarkEnd w:id="84"/>
          </w:p>
        </w:tc>
        <w:tc>
          <w:tcPr>
            <w:tcW w:w="883" w:type="dxa"/>
            <w:vMerge w:val="restart"/>
            <w:noWrap w:val="0"/>
            <w:vAlign w:val="center"/>
          </w:tcPr>
          <w:p>
            <w:pPr>
              <w:pStyle w:val="51"/>
              <w:jc w:val="center"/>
              <w:outlineLvl w:val="9"/>
              <w:rPr>
                <w:b w:val="0"/>
                <w:color w:val="auto"/>
                <w:sz w:val="24"/>
              </w:rPr>
            </w:pPr>
            <w:bookmarkStart w:id="85" w:name="_Toc18560"/>
            <w:r>
              <w:rPr>
                <w:b w:val="0"/>
                <w:color w:val="auto"/>
                <w:sz w:val="24"/>
              </w:rPr>
              <w:t>型号</w:t>
            </w:r>
            <w:bookmarkEnd w:id="85"/>
          </w:p>
        </w:tc>
        <w:tc>
          <w:tcPr>
            <w:tcW w:w="1418" w:type="dxa"/>
            <w:vMerge w:val="restart"/>
            <w:noWrap w:val="0"/>
            <w:vAlign w:val="center"/>
          </w:tcPr>
          <w:p>
            <w:pPr>
              <w:pStyle w:val="51"/>
              <w:jc w:val="center"/>
              <w:outlineLvl w:val="9"/>
              <w:rPr>
                <w:b w:val="0"/>
                <w:color w:val="auto"/>
                <w:sz w:val="24"/>
              </w:rPr>
            </w:pPr>
            <w:bookmarkStart w:id="86" w:name="_Toc10422"/>
            <w:r>
              <w:rPr>
                <w:b w:val="0"/>
                <w:color w:val="auto"/>
                <w:sz w:val="24"/>
              </w:rPr>
              <w:t>最大管电压（kV）</w:t>
            </w:r>
            <w:bookmarkEnd w:id="86"/>
          </w:p>
        </w:tc>
        <w:tc>
          <w:tcPr>
            <w:tcW w:w="1496" w:type="dxa"/>
            <w:vMerge w:val="restart"/>
            <w:noWrap w:val="0"/>
            <w:vAlign w:val="center"/>
          </w:tcPr>
          <w:p>
            <w:pPr>
              <w:pStyle w:val="51"/>
              <w:jc w:val="center"/>
              <w:outlineLvl w:val="9"/>
              <w:rPr>
                <w:b w:val="0"/>
                <w:color w:val="auto"/>
                <w:sz w:val="24"/>
              </w:rPr>
            </w:pPr>
            <w:bookmarkStart w:id="87" w:name="_Toc25479"/>
            <w:r>
              <w:rPr>
                <w:b w:val="0"/>
                <w:color w:val="auto"/>
                <w:sz w:val="24"/>
              </w:rPr>
              <w:t>最大靶电流</w:t>
            </w:r>
            <w:bookmarkEnd w:id="87"/>
          </w:p>
          <w:p>
            <w:pPr>
              <w:pStyle w:val="51"/>
              <w:jc w:val="center"/>
              <w:outlineLvl w:val="9"/>
              <w:rPr>
                <w:b w:val="0"/>
                <w:color w:val="auto"/>
                <w:sz w:val="24"/>
              </w:rPr>
            </w:pPr>
            <w:bookmarkStart w:id="88" w:name="_Toc30186"/>
            <w:r>
              <w:rPr>
                <w:b w:val="0"/>
                <w:color w:val="auto"/>
                <w:sz w:val="24"/>
              </w:rPr>
              <w:t>（μA）</w:t>
            </w:r>
            <w:bookmarkEnd w:id="88"/>
          </w:p>
        </w:tc>
        <w:tc>
          <w:tcPr>
            <w:tcW w:w="1197" w:type="dxa"/>
            <w:vMerge w:val="restart"/>
            <w:noWrap w:val="0"/>
            <w:vAlign w:val="center"/>
          </w:tcPr>
          <w:p>
            <w:pPr>
              <w:pStyle w:val="51"/>
              <w:jc w:val="center"/>
              <w:outlineLvl w:val="9"/>
              <w:rPr>
                <w:b w:val="0"/>
                <w:color w:val="auto"/>
                <w:sz w:val="24"/>
              </w:rPr>
            </w:pPr>
            <w:bookmarkStart w:id="89" w:name="_Toc13999"/>
            <w:r>
              <w:rPr>
                <w:rFonts w:hint="eastAsia"/>
                <w:b w:val="0"/>
                <w:color w:val="auto"/>
                <w:sz w:val="24"/>
              </w:rPr>
              <w:t>中</w:t>
            </w:r>
            <w:r>
              <w:rPr>
                <w:b w:val="0"/>
                <w:color w:val="auto"/>
                <w:sz w:val="24"/>
              </w:rPr>
              <w:t>子强</w:t>
            </w:r>
            <w:r>
              <w:rPr>
                <w:rFonts w:hint="eastAsia"/>
                <w:b w:val="0"/>
                <w:color w:val="auto"/>
                <w:sz w:val="24"/>
              </w:rPr>
              <w:t>度（n/s）</w:t>
            </w:r>
            <w:bookmarkEnd w:id="89"/>
          </w:p>
        </w:tc>
        <w:tc>
          <w:tcPr>
            <w:tcW w:w="1276" w:type="dxa"/>
            <w:vMerge w:val="restart"/>
            <w:noWrap w:val="0"/>
            <w:vAlign w:val="center"/>
          </w:tcPr>
          <w:p>
            <w:pPr>
              <w:pStyle w:val="51"/>
              <w:jc w:val="center"/>
              <w:outlineLvl w:val="9"/>
              <w:rPr>
                <w:b w:val="0"/>
                <w:color w:val="auto"/>
                <w:sz w:val="24"/>
              </w:rPr>
            </w:pPr>
            <w:bookmarkStart w:id="90" w:name="_Toc2880"/>
            <w:r>
              <w:rPr>
                <w:b w:val="0"/>
                <w:color w:val="auto"/>
                <w:sz w:val="24"/>
              </w:rPr>
              <w:t>用途</w:t>
            </w:r>
            <w:bookmarkEnd w:id="90"/>
          </w:p>
        </w:tc>
        <w:tc>
          <w:tcPr>
            <w:tcW w:w="1275" w:type="dxa"/>
            <w:vMerge w:val="restart"/>
            <w:noWrap w:val="0"/>
            <w:vAlign w:val="center"/>
          </w:tcPr>
          <w:p>
            <w:pPr>
              <w:pStyle w:val="51"/>
              <w:jc w:val="center"/>
              <w:outlineLvl w:val="9"/>
              <w:rPr>
                <w:b w:val="0"/>
                <w:color w:val="auto"/>
                <w:sz w:val="24"/>
              </w:rPr>
            </w:pPr>
            <w:bookmarkStart w:id="91" w:name="_Toc3295"/>
            <w:r>
              <w:rPr>
                <w:b w:val="0"/>
                <w:color w:val="auto"/>
                <w:sz w:val="24"/>
              </w:rPr>
              <w:t>工作场所</w:t>
            </w:r>
            <w:bookmarkEnd w:id="91"/>
          </w:p>
        </w:tc>
        <w:tc>
          <w:tcPr>
            <w:tcW w:w="2835" w:type="dxa"/>
            <w:gridSpan w:val="3"/>
            <w:noWrap w:val="0"/>
            <w:vAlign w:val="center"/>
          </w:tcPr>
          <w:p>
            <w:pPr>
              <w:pStyle w:val="51"/>
              <w:jc w:val="center"/>
              <w:outlineLvl w:val="9"/>
              <w:rPr>
                <w:b w:val="0"/>
                <w:color w:val="auto"/>
                <w:sz w:val="24"/>
              </w:rPr>
            </w:pPr>
            <w:bookmarkStart w:id="92" w:name="_Toc32324"/>
            <w:r>
              <w:rPr>
                <w:rFonts w:hint="eastAsia"/>
                <w:b w:val="0"/>
                <w:color w:val="auto"/>
                <w:sz w:val="24"/>
              </w:rPr>
              <w:t>氚靶情况</w:t>
            </w:r>
            <w:bookmarkEnd w:id="92"/>
          </w:p>
        </w:tc>
        <w:tc>
          <w:tcPr>
            <w:tcW w:w="709" w:type="dxa"/>
            <w:vMerge w:val="restart"/>
            <w:noWrap w:val="0"/>
            <w:vAlign w:val="center"/>
          </w:tcPr>
          <w:p>
            <w:pPr>
              <w:pStyle w:val="51"/>
              <w:jc w:val="center"/>
              <w:outlineLvl w:val="9"/>
              <w:rPr>
                <w:b w:val="0"/>
                <w:color w:val="auto"/>
                <w:sz w:val="24"/>
              </w:rPr>
            </w:pPr>
            <w:bookmarkStart w:id="93" w:name="_Toc10942"/>
            <w:r>
              <w:rPr>
                <w:b w:val="0"/>
                <w:color w:val="auto"/>
                <w:sz w:val="24"/>
              </w:rPr>
              <w:t>备注</w:t>
            </w:r>
            <w:bookmarkEnd w:id="93"/>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trPr>
        <w:tc>
          <w:tcPr>
            <w:tcW w:w="675" w:type="dxa"/>
            <w:vMerge w:val="continue"/>
            <w:noWrap w:val="0"/>
            <w:vAlign w:val="center"/>
          </w:tcPr>
          <w:p>
            <w:pPr>
              <w:pStyle w:val="51"/>
              <w:jc w:val="center"/>
              <w:outlineLvl w:val="9"/>
              <w:rPr>
                <w:b w:val="0"/>
                <w:color w:val="auto"/>
                <w:sz w:val="24"/>
              </w:rPr>
            </w:pPr>
          </w:p>
        </w:tc>
        <w:tc>
          <w:tcPr>
            <w:tcW w:w="1418" w:type="dxa"/>
            <w:vMerge w:val="continue"/>
            <w:noWrap w:val="0"/>
            <w:vAlign w:val="center"/>
          </w:tcPr>
          <w:p>
            <w:pPr>
              <w:pStyle w:val="51"/>
              <w:jc w:val="center"/>
              <w:outlineLvl w:val="9"/>
              <w:rPr>
                <w:b w:val="0"/>
                <w:color w:val="auto"/>
                <w:sz w:val="24"/>
              </w:rPr>
            </w:pPr>
          </w:p>
        </w:tc>
        <w:tc>
          <w:tcPr>
            <w:tcW w:w="567" w:type="dxa"/>
            <w:vMerge w:val="continue"/>
            <w:noWrap w:val="0"/>
            <w:vAlign w:val="center"/>
          </w:tcPr>
          <w:p>
            <w:pPr>
              <w:pStyle w:val="51"/>
              <w:jc w:val="center"/>
              <w:outlineLvl w:val="9"/>
              <w:rPr>
                <w:b w:val="0"/>
                <w:color w:val="auto"/>
                <w:sz w:val="24"/>
              </w:rPr>
            </w:pPr>
          </w:p>
        </w:tc>
        <w:tc>
          <w:tcPr>
            <w:tcW w:w="563" w:type="dxa"/>
            <w:vMerge w:val="continue"/>
            <w:noWrap w:val="0"/>
            <w:vAlign w:val="center"/>
          </w:tcPr>
          <w:p>
            <w:pPr>
              <w:pStyle w:val="51"/>
              <w:jc w:val="center"/>
              <w:outlineLvl w:val="9"/>
              <w:rPr>
                <w:b w:val="0"/>
                <w:color w:val="auto"/>
                <w:sz w:val="24"/>
              </w:rPr>
            </w:pPr>
          </w:p>
        </w:tc>
        <w:tc>
          <w:tcPr>
            <w:tcW w:w="883" w:type="dxa"/>
            <w:vMerge w:val="continue"/>
            <w:noWrap w:val="0"/>
            <w:vAlign w:val="center"/>
          </w:tcPr>
          <w:p>
            <w:pPr>
              <w:pStyle w:val="51"/>
              <w:jc w:val="center"/>
              <w:outlineLvl w:val="9"/>
              <w:rPr>
                <w:b w:val="0"/>
                <w:color w:val="auto"/>
                <w:sz w:val="24"/>
              </w:rPr>
            </w:pPr>
          </w:p>
        </w:tc>
        <w:tc>
          <w:tcPr>
            <w:tcW w:w="1418" w:type="dxa"/>
            <w:vMerge w:val="continue"/>
            <w:noWrap w:val="0"/>
            <w:vAlign w:val="center"/>
          </w:tcPr>
          <w:p>
            <w:pPr>
              <w:pStyle w:val="51"/>
              <w:jc w:val="center"/>
              <w:outlineLvl w:val="9"/>
              <w:rPr>
                <w:b w:val="0"/>
                <w:color w:val="auto"/>
                <w:sz w:val="24"/>
              </w:rPr>
            </w:pPr>
          </w:p>
        </w:tc>
        <w:tc>
          <w:tcPr>
            <w:tcW w:w="1496" w:type="dxa"/>
            <w:vMerge w:val="continue"/>
            <w:noWrap w:val="0"/>
            <w:vAlign w:val="center"/>
          </w:tcPr>
          <w:p>
            <w:pPr>
              <w:pStyle w:val="51"/>
              <w:jc w:val="center"/>
              <w:outlineLvl w:val="9"/>
              <w:rPr>
                <w:b w:val="0"/>
                <w:color w:val="auto"/>
                <w:sz w:val="24"/>
              </w:rPr>
            </w:pPr>
          </w:p>
        </w:tc>
        <w:tc>
          <w:tcPr>
            <w:tcW w:w="1197" w:type="dxa"/>
            <w:vMerge w:val="continue"/>
            <w:noWrap w:val="0"/>
            <w:vAlign w:val="center"/>
          </w:tcPr>
          <w:p>
            <w:pPr>
              <w:pStyle w:val="51"/>
              <w:jc w:val="center"/>
              <w:outlineLvl w:val="9"/>
              <w:rPr>
                <w:b w:val="0"/>
                <w:color w:val="auto"/>
                <w:sz w:val="24"/>
              </w:rPr>
            </w:pPr>
          </w:p>
        </w:tc>
        <w:tc>
          <w:tcPr>
            <w:tcW w:w="1276" w:type="dxa"/>
            <w:vMerge w:val="continue"/>
            <w:noWrap w:val="0"/>
            <w:vAlign w:val="center"/>
          </w:tcPr>
          <w:p>
            <w:pPr>
              <w:pStyle w:val="51"/>
              <w:jc w:val="center"/>
              <w:outlineLvl w:val="9"/>
              <w:rPr>
                <w:b w:val="0"/>
                <w:color w:val="auto"/>
                <w:sz w:val="24"/>
              </w:rPr>
            </w:pPr>
          </w:p>
        </w:tc>
        <w:tc>
          <w:tcPr>
            <w:tcW w:w="1275" w:type="dxa"/>
            <w:vMerge w:val="continue"/>
            <w:noWrap w:val="0"/>
            <w:vAlign w:val="center"/>
          </w:tcPr>
          <w:p>
            <w:pPr>
              <w:pStyle w:val="51"/>
              <w:jc w:val="center"/>
              <w:outlineLvl w:val="9"/>
              <w:rPr>
                <w:b w:val="0"/>
                <w:color w:val="auto"/>
                <w:sz w:val="24"/>
              </w:rPr>
            </w:pPr>
          </w:p>
        </w:tc>
        <w:tc>
          <w:tcPr>
            <w:tcW w:w="906" w:type="dxa"/>
            <w:noWrap w:val="0"/>
            <w:vAlign w:val="center"/>
          </w:tcPr>
          <w:p>
            <w:pPr>
              <w:pStyle w:val="51"/>
              <w:jc w:val="center"/>
              <w:outlineLvl w:val="9"/>
              <w:rPr>
                <w:b w:val="0"/>
                <w:color w:val="auto"/>
                <w:sz w:val="24"/>
              </w:rPr>
            </w:pPr>
            <w:bookmarkStart w:id="94" w:name="_Toc14593"/>
            <w:r>
              <w:rPr>
                <w:rFonts w:hint="eastAsia"/>
                <w:b w:val="0"/>
                <w:color w:val="auto"/>
                <w:sz w:val="24"/>
              </w:rPr>
              <w:t>活度</w:t>
            </w:r>
            <w:bookmarkEnd w:id="94"/>
          </w:p>
        </w:tc>
        <w:tc>
          <w:tcPr>
            <w:tcW w:w="1221" w:type="dxa"/>
            <w:noWrap w:val="0"/>
            <w:vAlign w:val="center"/>
          </w:tcPr>
          <w:p>
            <w:pPr>
              <w:pStyle w:val="51"/>
              <w:jc w:val="center"/>
              <w:outlineLvl w:val="9"/>
              <w:rPr>
                <w:b w:val="0"/>
                <w:color w:val="auto"/>
                <w:sz w:val="24"/>
              </w:rPr>
            </w:pPr>
            <w:bookmarkStart w:id="95" w:name="_Toc21009"/>
            <w:r>
              <w:rPr>
                <w:rFonts w:hint="eastAsia"/>
                <w:b w:val="0"/>
                <w:color w:val="auto"/>
                <w:sz w:val="24"/>
              </w:rPr>
              <w:t>贮存</w:t>
            </w:r>
            <w:r>
              <w:rPr>
                <w:b w:val="0"/>
                <w:color w:val="auto"/>
                <w:sz w:val="24"/>
              </w:rPr>
              <w:t>方式</w:t>
            </w:r>
            <w:bookmarkEnd w:id="95"/>
          </w:p>
        </w:tc>
        <w:tc>
          <w:tcPr>
            <w:tcW w:w="708" w:type="dxa"/>
            <w:noWrap w:val="0"/>
            <w:vAlign w:val="center"/>
          </w:tcPr>
          <w:p>
            <w:pPr>
              <w:pStyle w:val="51"/>
              <w:jc w:val="center"/>
              <w:outlineLvl w:val="9"/>
              <w:rPr>
                <w:b w:val="0"/>
                <w:color w:val="auto"/>
                <w:sz w:val="24"/>
              </w:rPr>
            </w:pPr>
            <w:bookmarkStart w:id="96" w:name="_Toc32394"/>
            <w:r>
              <w:rPr>
                <w:rFonts w:hint="eastAsia"/>
                <w:b w:val="0"/>
                <w:color w:val="auto"/>
                <w:sz w:val="24"/>
              </w:rPr>
              <w:t>数量</w:t>
            </w:r>
            <w:bookmarkEnd w:id="96"/>
          </w:p>
        </w:tc>
        <w:tc>
          <w:tcPr>
            <w:tcW w:w="709" w:type="dxa"/>
            <w:vMerge w:val="continue"/>
            <w:noWrap w:val="0"/>
            <w:vAlign w:val="center"/>
          </w:tcPr>
          <w:p>
            <w:pPr>
              <w:pStyle w:val="51"/>
              <w:jc w:val="center"/>
              <w:outlineLvl w:val="9"/>
              <w:rPr>
                <w:b w:val="0"/>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75" w:type="dxa"/>
            <w:noWrap w:val="0"/>
            <w:vAlign w:val="center"/>
          </w:tcPr>
          <w:p>
            <w:pPr>
              <w:pStyle w:val="51"/>
              <w:jc w:val="center"/>
              <w:outlineLvl w:val="9"/>
              <w:rPr>
                <w:b w:val="0"/>
                <w:color w:val="auto"/>
                <w:sz w:val="24"/>
              </w:rPr>
            </w:pPr>
            <w:bookmarkStart w:id="97" w:name="_Toc2192"/>
            <w:r>
              <w:rPr>
                <w:rFonts w:hint="eastAsia"/>
                <w:b w:val="0"/>
                <w:color w:val="auto"/>
                <w:sz w:val="24"/>
              </w:rPr>
              <w:t>/</w:t>
            </w:r>
            <w:bookmarkEnd w:id="97"/>
          </w:p>
        </w:tc>
        <w:tc>
          <w:tcPr>
            <w:tcW w:w="1418" w:type="dxa"/>
            <w:noWrap w:val="0"/>
            <w:vAlign w:val="center"/>
          </w:tcPr>
          <w:p>
            <w:pPr>
              <w:pStyle w:val="51"/>
              <w:jc w:val="center"/>
              <w:outlineLvl w:val="9"/>
              <w:rPr>
                <w:b w:val="0"/>
                <w:color w:val="auto"/>
                <w:sz w:val="24"/>
              </w:rPr>
            </w:pPr>
            <w:bookmarkStart w:id="98" w:name="_Toc6367"/>
            <w:r>
              <w:rPr>
                <w:b w:val="0"/>
                <w:color w:val="auto"/>
                <w:sz w:val="24"/>
              </w:rPr>
              <w:t>/</w:t>
            </w:r>
            <w:bookmarkEnd w:id="98"/>
          </w:p>
        </w:tc>
        <w:tc>
          <w:tcPr>
            <w:tcW w:w="567" w:type="dxa"/>
            <w:noWrap w:val="0"/>
            <w:vAlign w:val="center"/>
          </w:tcPr>
          <w:p>
            <w:pPr>
              <w:pStyle w:val="51"/>
              <w:jc w:val="center"/>
              <w:outlineLvl w:val="9"/>
              <w:rPr>
                <w:b w:val="0"/>
                <w:color w:val="auto"/>
                <w:sz w:val="24"/>
              </w:rPr>
            </w:pPr>
            <w:bookmarkStart w:id="99" w:name="_Toc1725"/>
            <w:r>
              <w:rPr>
                <w:b w:val="0"/>
                <w:color w:val="auto"/>
                <w:sz w:val="24"/>
              </w:rPr>
              <w:t>/</w:t>
            </w:r>
            <w:bookmarkEnd w:id="99"/>
          </w:p>
        </w:tc>
        <w:tc>
          <w:tcPr>
            <w:tcW w:w="563" w:type="dxa"/>
            <w:noWrap w:val="0"/>
            <w:vAlign w:val="center"/>
          </w:tcPr>
          <w:p>
            <w:pPr>
              <w:pStyle w:val="51"/>
              <w:jc w:val="center"/>
              <w:outlineLvl w:val="9"/>
              <w:rPr>
                <w:b w:val="0"/>
                <w:color w:val="auto"/>
                <w:sz w:val="24"/>
              </w:rPr>
            </w:pPr>
            <w:bookmarkStart w:id="100" w:name="_Toc8945"/>
            <w:r>
              <w:rPr>
                <w:b w:val="0"/>
                <w:color w:val="auto"/>
                <w:sz w:val="24"/>
              </w:rPr>
              <w:t>/</w:t>
            </w:r>
            <w:bookmarkEnd w:id="100"/>
          </w:p>
        </w:tc>
        <w:tc>
          <w:tcPr>
            <w:tcW w:w="883" w:type="dxa"/>
            <w:noWrap w:val="0"/>
            <w:vAlign w:val="center"/>
          </w:tcPr>
          <w:p>
            <w:pPr>
              <w:pStyle w:val="51"/>
              <w:jc w:val="center"/>
              <w:outlineLvl w:val="9"/>
              <w:rPr>
                <w:b w:val="0"/>
                <w:color w:val="auto"/>
                <w:sz w:val="24"/>
              </w:rPr>
            </w:pPr>
            <w:bookmarkStart w:id="101" w:name="_Toc5719"/>
            <w:r>
              <w:rPr>
                <w:b w:val="0"/>
                <w:color w:val="auto"/>
                <w:sz w:val="24"/>
              </w:rPr>
              <w:t>/</w:t>
            </w:r>
            <w:bookmarkEnd w:id="101"/>
          </w:p>
        </w:tc>
        <w:tc>
          <w:tcPr>
            <w:tcW w:w="1418" w:type="dxa"/>
            <w:noWrap w:val="0"/>
            <w:vAlign w:val="center"/>
          </w:tcPr>
          <w:p>
            <w:pPr>
              <w:pStyle w:val="51"/>
              <w:jc w:val="center"/>
              <w:outlineLvl w:val="9"/>
              <w:rPr>
                <w:b w:val="0"/>
                <w:color w:val="auto"/>
                <w:sz w:val="24"/>
              </w:rPr>
            </w:pPr>
            <w:bookmarkStart w:id="102" w:name="_Toc14290"/>
            <w:r>
              <w:rPr>
                <w:b w:val="0"/>
                <w:color w:val="auto"/>
                <w:sz w:val="24"/>
              </w:rPr>
              <w:t>/</w:t>
            </w:r>
            <w:bookmarkEnd w:id="102"/>
          </w:p>
        </w:tc>
        <w:tc>
          <w:tcPr>
            <w:tcW w:w="1496" w:type="dxa"/>
            <w:noWrap w:val="0"/>
            <w:vAlign w:val="center"/>
          </w:tcPr>
          <w:p>
            <w:pPr>
              <w:pStyle w:val="51"/>
              <w:jc w:val="center"/>
              <w:outlineLvl w:val="9"/>
              <w:rPr>
                <w:b w:val="0"/>
                <w:color w:val="auto"/>
                <w:sz w:val="24"/>
              </w:rPr>
            </w:pPr>
            <w:bookmarkStart w:id="103" w:name="_Toc9546"/>
            <w:r>
              <w:rPr>
                <w:b w:val="0"/>
                <w:color w:val="auto"/>
                <w:sz w:val="24"/>
              </w:rPr>
              <w:t>/</w:t>
            </w:r>
            <w:bookmarkEnd w:id="103"/>
          </w:p>
        </w:tc>
        <w:tc>
          <w:tcPr>
            <w:tcW w:w="1197" w:type="dxa"/>
            <w:noWrap w:val="0"/>
            <w:vAlign w:val="center"/>
          </w:tcPr>
          <w:p>
            <w:pPr>
              <w:pStyle w:val="51"/>
              <w:jc w:val="center"/>
              <w:outlineLvl w:val="9"/>
              <w:rPr>
                <w:b w:val="0"/>
                <w:color w:val="auto"/>
                <w:sz w:val="24"/>
              </w:rPr>
            </w:pPr>
            <w:bookmarkStart w:id="104" w:name="_Toc22611"/>
            <w:r>
              <w:rPr>
                <w:b w:val="0"/>
                <w:color w:val="auto"/>
                <w:sz w:val="24"/>
              </w:rPr>
              <w:t>/</w:t>
            </w:r>
            <w:bookmarkEnd w:id="104"/>
          </w:p>
        </w:tc>
        <w:tc>
          <w:tcPr>
            <w:tcW w:w="1276" w:type="dxa"/>
            <w:noWrap w:val="0"/>
            <w:vAlign w:val="center"/>
          </w:tcPr>
          <w:p>
            <w:pPr>
              <w:pStyle w:val="51"/>
              <w:jc w:val="center"/>
              <w:outlineLvl w:val="9"/>
              <w:rPr>
                <w:b w:val="0"/>
                <w:color w:val="auto"/>
                <w:sz w:val="24"/>
              </w:rPr>
            </w:pPr>
            <w:bookmarkStart w:id="105" w:name="_Toc14681"/>
            <w:r>
              <w:rPr>
                <w:b w:val="0"/>
                <w:color w:val="auto"/>
                <w:sz w:val="24"/>
              </w:rPr>
              <w:t>/</w:t>
            </w:r>
            <w:bookmarkEnd w:id="105"/>
          </w:p>
        </w:tc>
        <w:tc>
          <w:tcPr>
            <w:tcW w:w="1275" w:type="dxa"/>
            <w:noWrap w:val="0"/>
            <w:vAlign w:val="center"/>
          </w:tcPr>
          <w:p>
            <w:pPr>
              <w:pStyle w:val="51"/>
              <w:jc w:val="center"/>
              <w:outlineLvl w:val="9"/>
              <w:rPr>
                <w:b w:val="0"/>
                <w:color w:val="auto"/>
                <w:sz w:val="24"/>
              </w:rPr>
            </w:pPr>
            <w:bookmarkStart w:id="106" w:name="_Toc8858"/>
            <w:r>
              <w:rPr>
                <w:b w:val="0"/>
                <w:color w:val="auto"/>
                <w:sz w:val="24"/>
              </w:rPr>
              <w:t>/</w:t>
            </w:r>
            <w:bookmarkEnd w:id="106"/>
          </w:p>
        </w:tc>
        <w:tc>
          <w:tcPr>
            <w:tcW w:w="906" w:type="dxa"/>
            <w:noWrap w:val="0"/>
            <w:vAlign w:val="center"/>
          </w:tcPr>
          <w:p>
            <w:pPr>
              <w:pStyle w:val="51"/>
              <w:jc w:val="center"/>
              <w:outlineLvl w:val="9"/>
              <w:rPr>
                <w:b w:val="0"/>
                <w:color w:val="auto"/>
                <w:sz w:val="24"/>
              </w:rPr>
            </w:pPr>
            <w:bookmarkStart w:id="107" w:name="_Toc4558"/>
            <w:r>
              <w:rPr>
                <w:rFonts w:hint="eastAsia"/>
                <w:b w:val="0"/>
                <w:color w:val="auto"/>
                <w:sz w:val="24"/>
              </w:rPr>
              <w:t>/</w:t>
            </w:r>
            <w:bookmarkEnd w:id="107"/>
          </w:p>
        </w:tc>
        <w:tc>
          <w:tcPr>
            <w:tcW w:w="1221" w:type="dxa"/>
            <w:noWrap w:val="0"/>
            <w:vAlign w:val="center"/>
          </w:tcPr>
          <w:p>
            <w:pPr>
              <w:pStyle w:val="51"/>
              <w:jc w:val="center"/>
              <w:outlineLvl w:val="9"/>
              <w:rPr>
                <w:b w:val="0"/>
                <w:color w:val="auto"/>
                <w:sz w:val="24"/>
              </w:rPr>
            </w:pPr>
            <w:bookmarkStart w:id="108" w:name="_Toc4991"/>
            <w:r>
              <w:rPr>
                <w:rFonts w:hint="eastAsia"/>
                <w:b w:val="0"/>
                <w:color w:val="auto"/>
                <w:sz w:val="24"/>
              </w:rPr>
              <w:t>/</w:t>
            </w:r>
            <w:bookmarkEnd w:id="108"/>
          </w:p>
        </w:tc>
        <w:tc>
          <w:tcPr>
            <w:tcW w:w="708" w:type="dxa"/>
            <w:noWrap w:val="0"/>
            <w:vAlign w:val="center"/>
          </w:tcPr>
          <w:p>
            <w:pPr>
              <w:pStyle w:val="51"/>
              <w:jc w:val="center"/>
              <w:outlineLvl w:val="9"/>
              <w:rPr>
                <w:b w:val="0"/>
                <w:color w:val="auto"/>
                <w:sz w:val="24"/>
              </w:rPr>
            </w:pPr>
            <w:bookmarkStart w:id="109" w:name="_Toc28659"/>
            <w:r>
              <w:rPr>
                <w:rFonts w:hint="eastAsia"/>
                <w:b w:val="0"/>
                <w:color w:val="auto"/>
                <w:sz w:val="24"/>
              </w:rPr>
              <w:t>/</w:t>
            </w:r>
            <w:bookmarkEnd w:id="109"/>
          </w:p>
        </w:tc>
        <w:tc>
          <w:tcPr>
            <w:tcW w:w="709" w:type="dxa"/>
            <w:noWrap w:val="0"/>
            <w:vAlign w:val="center"/>
          </w:tcPr>
          <w:p>
            <w:pPr>
              <w:pStyle w:val="51"/>
              <w:jc w:val="center"/>
              <w:outlineLvl w:val="9"/>
              <w:rPr>
                <w:b w:val="0"/>
                <w:color w:val="auto"/>
                <w:sz w:val="24"/>
              </w:rPr>
            </w:pPr>
            <w:bookmarkStart w:id="110" w:name="_Toc1965"/>
            <w:r>
              <w:rPr>
                <w:b w:val="0"/>
                <w:color w:val="auto"/>
                <w:sz w:val="24"/>
              </w:rPr>
              <w:t>/</w:t>
            </w:r>
            <w:bookmarkEnd w:id="11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75" w:type="dxa"/>
            <w:noWrap w:val="0"/>
            <w:vAlign w:val="center"/>
          </w:tcPr>
          <w:p>
            <w:pPr>
              <w:pStyle w:val="51"/>
              <w:jc w:val="center"/>
              <w:outlineLvl w:val="9"/>
              <w:rPr>
                <w:b w:val="0"/>
                <w:color w:val="auto"/>
                <w:sz w:val="24"/>
              </w:rPr>
            </w:pPr>
          </w:p>
        </w:tc>
        <w:tc>
          <w:tcPr>
            <w:tcW w:w="1418" w:type="dxa"/>
            <w:noWrap w:val="0"/>
            <w:vAlign w:val="center"/>
          </w:tcPr>
          <w:p>
            <w:pPr>
              <w:pStyle w:val="51"/>
              <w:jc w:val="center"/>
              <w:outlineLvl w:val="9"/>
              <w:rPr>
                <w:b w:val="0"/>
                <w:color w:val="auto"/>
                <w:sz w:val="24"/>
              </w:rPr>
            </w:pPr>
          </w:p>
        </w:tc>
        <w:tc>
          <w:tcPr>
            <w:tcW w:w="567" w:type="dxa"/>
            <w:noWrap w:val="0"/>
            <w:vAlign w:val="center"/>
          </w:tcPr>
          <w:p>
            <w:pPr>
              <w:pStyle w:val="51"/>
              <w:jc w:val="center"/>
              <w:outlineLvl w:val="9"/>
              <w:rPr>
                <w:b w:val="0"/>
                <w:color w:val="auto"/>
                <w:sz w:val="24"/>
              </w:rPr>
            </w:pPr>
          </w:p>
        </w:tc>
        <w:tc>
          <w:tcPr>
            <w:tcW w:w="563" w:type="dxa"/>
            <w:noWrap w:val="0"/>
            <w:vAlign w:val="center"/>
          </w:tcPr>
          <w:p>
            <w:pPr>
              <w:pStyle w:val="51"/>
              <w:jc w:val="center"/>
              <w:outlineLvl w:val="9"/>
              <w:rPr>
                <w:b w:val="0"/>
                <w:color w:val="auto"/>
                <w:sz w:val="24"/>
              </w:rPr>
            </w:pPr>
          </w:p>
        </w:tc>
        <w:tc>
          <w:tcPr>
            <w:tcW w:w="883" w:type="dxa"/>
            <w:noWrap w:val="0"/>
            <w:vAlign w:val="center"/>
          </w:tcPr>
          <w:p>
            <w:pPr>
              <w:pStyle w:val="51"/>
              <w:jc w:val="center"/>
              <w:outlineLvl w:val="9"/>
              <w:rPr>
                <w:b w:val="0"/>
                <w:color w:val="auto"/>
                <w:sz w:val="24"/>
              </w:rPr>
            </w:pPr>
          </w:p>
        </w:tc>
        <w:tc>
          <w:tcPr>
            <w:tcW w:w="1418" w:type="dxa"/>
            <w:noWrap w:val="0"/>
            <w:vAlign w:val="center"/>
          </w:tcPr>
          <w:p>
            <w:pPr>
              <w:pStyle w:val="51"/>
              <w:jc w:val="center"/>
              <w:outlineLvl w:val="9"/>
              <w:rPr>
                <w:b w:val="0"/>
                <w:color w:val="auto"/>
                <w:sz w:val="24"/>
              </w:rPr>
            </w:pPr>
          </w:p>
        </w:tc>
        <w:tc>
          <w:tcPr>
            <w:tcW w:w="1496" w:type="dxa"/>
            <w:noWrap w:val="0"/>
            <w:vAlign w:val="center"/>
          </w:tcPr>
          <w:p>
            <w:pPr>
              <w:pStyle w:val="51"/>
              <w:jc w:val="center"/>
              <w:outlineLvl w:val="9"/>
              <w:rPr>
                <w:b w:val="0"/>
                <w:color w:val="auto"/>
                <w:sz w:val="24"/>
              </w:rPr>
            </w:pPr>
          </w:p>
        </w:tc>
        <w:tc>
          <w:tcPr>
            <w:tcW w:w="1197" w:type="dxa"/>
            <w:noWrap w:val="0"/>
            <w:vAlign w:val="center"/>
          </w:tcPr>
          <w:p>
            <w:pPr>
              <w:pStyle w:val="51"/>
              <w:jc w:val="center"/>
              <w:outlineLvl w:val="9"/>
              <w:rPr>
                <w:b w:val="0"/>
                <w:color w:val="auto"/>
                <w:sz w:val="24"/>
              </w:rPr>
            </w:pPr>
          </w:p>
        </w:tc>
        <w:tc>
          <w:tcPr>
            <w:tcW w:w="1276" w:type="dxa"/>
            <w:noWrap w:val="0"/>
            <w:vAlign w:val="center"/>
          </w:tcPr>
          <w:p>
            <w:pPr>
              <w:pStyle w:val="51"/>
              <w:jc w:val="center"/>
              <w:outlineLvl w:val="9"/>
              <w:rPr>
                <w:b w:val="0"/>
                <w:color w:val="auto"/>
                <w:sz w:val="24"/>
              </w:rPr>
            </w:pPr>
          </w:p>
        </w:tc>
        <w:tc>
          <w:tcPr>
            <w:tcW w:w="1275" w:type="dxa"/>
            <w:noWrap w:val="0"/>
            <w:vAlign w:val="center"/>
          </w:tcPr>
          <w:p>
            <w:pPr>
              <w:pStyle w:val="51"/>
              <w:jc w:val="center"/>
              <w:outlineLvl w:val="9"/>
              <w:rPr>
                <w:b w:val="0"/>
                <w:color w:val="auto"/>
                <w:sz w:val="24"/>
              </w:rPr>
            </w:pPr>
          </w:p>
        </w:tc>
        <w:tc>
          <w:tcPr>
            <w:tcW w:w="906" w:type="dxa"/>
            <w:noWrap w:val="0"/>
            <w:vAlign w:val="center"/>
          </w:tcPr>
          <w:p>
            <w:pPr>
              <w:pStyle w:val="51"/>
              <w:jc w:val="center"/>
              <w:outlineLvl w:val="9"/>
              <w:rPr>
                <w:b w:val="0"/>
                <w:color w:val="auto"/>
                <w:sz w:val="24"/>
              </w:rPr>
            </w:pPr>
          </w:p>
        </w:tc>
        <w:tc>
          <w:tcPr>
            <w:tcW w:w="1221" w:type="dxa"/>
            <w:noWrap w:val="0"/>
            <w:vAlign w:val="center"/>
          </w:tcPr>
          <w:p>
            <w:pPr>
              <w:pStyle w:val="51"/>
              <w:jc w:val="center"/>
              <w:outlineLvl w:val="9"/>
              <w:rPr>
                <w:b w:val="0"/>
                <w:color w:val="auto"/>
                <w:sz w:val="24"/>
              </w:rPr>
            </w:pPr>
          </w:p>
        </w:tc>
        <w:tc>
          <w:tcPr>
            <w:tcW w:w="708" w:type="dxa"/>
            <w:noWrap w:val="0"/>
            <w:vAlign w:val="center"/>
          </w:tcPr>
          <w:p>
            <w:pPr>
              <w:pStyle w:val="51"/>
              <w:jc w:val="center"/>
              <w:outlineLvl w:val="9"/>
              <w:rPr>
                <w:b w:val="0"/>
                <w:color w:val="auto"/>
                <w:sz w:val="24"/>
              </w:rPr>
            </w:pPr>
          </w:p>
        </w:tc>
        <w:tc>
          <w:tcPr>
            <w:tcW w:w="709" w:type="dxa"/>
            <w:noWrap w:val="0"/>
            <w:vAlign w:val="center"/>
          </w:tcPr>
          <w:p>
            <w:pPr>
              <w:pStyle w:val="51"/>
              <w:jc w:val="center"/>
              <w:outlineLvl w:val="9"/>
              <w:rPr>
                <w:b w:val="0"/>
                <w:color w:val="auto"/>
                <w:sz w:val="24"/>
              </w:rPr>
            </w:pPr>
          </w:p>
        </w:tc>
      </w:tr>
    </w:tbl>
    <w:p>
      <w:pPr>
        <w:pStyle w:val="51"/>
        <w:outlineLvl w:val="9"/>
        <w:rPr>
          <w:color w:val="auto"/>
        </w:rPr>
        <w:sectPr>
          <w:pgSz w:w="16838" w:h="11906" w:orient="landscape"/>
          <w:pgMar w:top="1800" w:right="1440" w:bottom="1800" w:left="1440" w:header="851" w:footer="992" w:gutter="0"/>
          <w:cols w:space="720" w:num="1"/>
          <w:docGrid w:type="lines" w:linePitch="312" w:charSpace="0"/>
        </w:sectPr>
      </w:pPr>
    </w:p>
    <w:p>
      <w:pPr>
        <w:pStyle w:val="51"/>
        <w:rPr>
          <w:color w:val="auto"/>
        </w:rPr>
      </w:pPr>
      <w:bookmarkStart w:id="111" w:name="_Toc1069"/>
      <w:r>
        <w:rPr>
          <w:rFonts w:hint="eastAsia"/>
          <w:color w:val="auto"/>
        </w:rPr>
        <w:t>表5废弃物</w:t>
      </w:r>
      <w:bookmarkEnd w:id="111"/>
    </w:p>
    <w:tbl>
      <w:tblPr>
        <w:tblStyle w:val="23"/>
        <w:tblW w:w="5000" w:type="pct"/>
        <w:tblInd w:w="-5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1"/>
        <w:gridCol w:w="873"/>
        <w:gridCol w:w="1119"/>
        <w:gridCol w:w="828"/>
        <w:gridCol w:w="2820"/>
        <w:gridCol w:w="2158"/>
        <w:gridCol w:w="1237"/>
        <w:gridCol w:w="1664"/>
        <w:gridCol w:w="1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661" w:type="dxa"/>
            <w:noWrap w:val="0"/>
            <w:vAlign w:val="center"/>
          </w:tcPr>
          <w:p>
            <w:pPr>
              <w:pStyle w:val="51"/>
              <w:jc w:val="center"/>
              <w:outlineLvl w:val="9"/>
              <w:rPr>
                <w:b w:val="0"/>
                <w:color w:val="auto"/>
                <w:sz w:val="24"/>
              </w:rPr>
            </w:pPr>
            <w:bookmarkStart w:id="112" w:name="_Toc8916"/>
            <w:r>
              <w:rPr>
                <w:rFonts w:hint="eastAsia"/>
                <w:b w:val="0"/>
                <w:color w:val="auto"/>
                <w:sz w:val="24"/>
              </w:rPr>
              <w:t>名称</w:t>
            </w:r>
            <w:bookmarkEnd w:id="112"/>
          </w:p>
        </w:tc>
        <w:tc>
          <w:tcPr>
            <w:tcW w:w="873" w:type="dxa"/>
            <w:noWrap w:val="0"/>
            <w:vAlign w:val="center"/>
          </w:tcPr>
          <w:p>
            <w:pPr>
              <w:pStyle w:val="51"/>
              <w:jc w:val="center"/>
              <w:outlineLvl w:val="9"/>
              <w:rPr>
                <w:b w:val="0"/>
                <w:color w:val="auto"/>
                <w:sz w:val="24"/>
              </w:rPr>
            </w:pPr>
            <w:bookmarkStart w:id="113" w:name="_Toc11486"/>
            <w:r>
              <w:rPr>
                <w:rFonts w:hint="eastAsia"/>
                <w:b w:val="0"/>
                <w:color w:val="auto"/>
                <w:sz w:val="24"/>
              </w:rPr>
              <w:t>状态</w:t>
            </w:r>
            <w:bookmarkEnd w:id="113"/>
          </w:p>
        </w:tc>
        <w:tc>
          <w:tcPr>
            <w:tcW w:w="1119" w:type="dxa"/>
            <w:noWrap w:val="0"/>
            <w:vAlign w:val="center"/>
          </w:tcPr>
          <w:p>
            <w:pPr>
              <w:pStyle w:val="51"/>
              <w:jc w:val="center"/>
              <w:outlineLvl w:val="9"/>
              <w:rPr>
                <w:b w:val="0"/>
                <w:color w:val="auto"/>
                <w:sz w:val="24"/>
              </w:rPr>
            </w:pPr>
            <w:bookmarkStart w:id="114" w:name="_Toc13684"/>
            <w:r>
              <w:rPr>
                <w:rFonts w:hint="eastAsia"/>
                <w:b w:val="0"/>
                <w:color w:val="auto"/>
                <w:sz w:val="24"/>
              </w:rPr>
              <w:t>核素</w:t>
            </w:r>
            <w:r>
              <w:rPr>
                <w:b w:val="0"/>
                <w:color w:val="auto"/>
                <w:sz w:val="24"/>
              </w:rPr>
              <w:t>名称</w:t>
            </w:r>
            <w:bookmarkEnd w:id="114"/>
          </w:p>
        </w:tc>
        <w:tc>
          <w:tcPr>
            <w:tcW w:w="828" w:type="dxa"/>
            <w:noWrap w:val="0"/>
            <w:vAlign w:val="center"/>
          </w:tcPr>
          <w:p>
            <w:pPr>
              <w:pStyle w:val="51"/>
              <w:jc w:val="center"/>
              <w:outlineLvl w:val="9"/>
              <w:rPr>
                <w:b w:val="0"/>
                <w:color w:val="auto"/>
                <w:sz w:val="24"/>
              </w:rPr>
            </w:pPr>
            <w:bookmarkStart w:id="115" w:name="_Toc23940"/>
            <w:r>
              <w:rPr>
                <w:rFonts w:hint="eastAsia"/>
                <w:b w:val="0"/>
                <w:color w:val="auto"/>
                <w:sz w:val="24"/>
              </w:rPr>
              <w:t>活度</w:t>
            </w:r>
            <w:bookmarkEnd w:id="115"/>
          </w:p>
        </w:tc>
        <w:tc>
          <w:tcPr>
            <w:tcW w:w="2820" w:type="dxa"/>
            <w:noWrap w:val="0"/>
            <w:vAlign w:val="center"/>
          </w:tcPr>
          <w:p>
            <w:pPr>
              <w:pStyle w:val="51"/>
              <w:jc w:val="center"/>
              <w:outlineLvl w:val="9"/>
              <w:rPr>
                <w:b w:val="0"/>
                <w:color w:val="auto"/>
                <w:sz w:val="24"/>
              </w:rPr>
            </w:pPr>
            <w:bookmarkStart w:id="116" w:name="_Toc15886"/>
            <w:r>
              <w:rPr>
                <w:rFonts w:hint="eastAsia"/>
                <w:b w:val="0"/>
                <w:color w:val="auto"/>
                <w:sz w:val="24"/>
              </w:rPr>
              <w:t>月</w:t>
            </w:r>
            <w:r>
              <w:rPr>
                <w:b w:val="0"/>
                <w:color w:val="auto"/>
                <w:sz w:val="24"/>
              </w:rPr>
              <w:t>排放量</w:t>
            </w:r>
            <w:bookmarkEnd w:id="116"/>
          </w:p>
        </w:tc>
        <w:tc>
          <w:tcPr>
            <w:tcW w:w="2158" w:type="dxa"/>
            <w:noWrap w:val="0"/>
            <w:vAlign w:val="center"/>
          </w:tcPr>
          <w:p>
            <w:pPr>
              <w:pStyle w:val="51"/>
              <w:jc w:val="center"/>
              <w:outlineLvl w:val="9"/>
              <w:rPr>
                <w:b w:val="0"/>
                <w:color w:val="auto"/>
                <w:sz w:val="24"/>
              </w:rPr>
            </w:pPr>
            <w:bookmarkStart w:id="117" w:name="_Toc30641"/>
            <w:r>
              <w:rPr>
                <w:rFonts w:hint="eastAsia"/>
                <w:b w:val="0"/>
                <w:color w:val="auto"/>
                <w:sz w:val="24"/>
              </w:rPr>
              <w:t>年</w:t>
            </w:r>
            <w:r>
              <w:rPr>
                <w:b w:val="0"/>
                <w:color w:val="auto"/>
                <w:sz w:val="24"/>
              </w:rPr>
              <w:t>排放总量</w:t>
            </w:r>
            <w:bookmarkEnd w:id="117"/>
          </w:p>
        </w:tc>
        <w:tc>
          <w:tcPr>
            <w:tcW w:w="1237" w:type="dxa"/>
            <w:noWrap w:val="0"/>
            <w:vAlign w:val="center"/>
          </w:tcPr>
          <w:p>
            <w:pPr>
              <w:pStyle w:val="51"/>
              <w:jc w:val="center"/>
              <w:outlineLvl w:val="9"/>
              <w:rPr>
                <w:b w:val="0"/>
                <w:color w:val="auto"/>
                <w:sz w:val="24"/>
              </w:rPr>
            </w:pPr>
            <w:bookmarkStart w:id="118" w:name="_Toc18614"/>
            <w:r>
              <w:rPr>
                <w:rFonts w:hint="eastAsia"/>
                <w:b w:val="0"/>
                <w:color w:val="auto"/>
                <w:sz w:val="24"/>
              </w:rPr>
              <w:t>排放口</w:t>
            </w:r>
            <w:r>
              <w:rPr>
                <w:b w:val="0"/>
                <w:color w:val="auto"/>
                <w:sz w:val="24"/>
              </w:rPr>
              <w:t>浓度</w:t>
            </w:r>
            <w:bookmarkEnd w:id="118"/>
          </w:p>
        </w:tc>
        <w:tc>
          <w:tcPr>
            <w:tcW w:w="1664" w:type="dxa"/>
            <w:noWrap w:val="0"/>
            <w:vAlign w:val="center"/>
          </w:tcPr>
          <w:p>
            <w:pPr>
              <w:pStyle w:val="51"/>
              <w:jc w:val="center"/>
              <w:outlineLvl w:val="9"/>
              <w:rPr>
                <w:b w:val="0"/>
                <w:color w:val="auto"/>
                <w:sz w:val="24"/>
              </w:rPr>
            </w:pPr>
            <w:bookmarkStart w:id="119" w:name="_Toc27848"/>
            <w:r>
              <w:rPr>
                <w:rFonts w:hint="eastAsia"/>
                <w:b w:val="0"/>
                <w:color w:val="auto"/>
                <w:sz w:val="24"/>
              </w:rPr>
              <w:t>暂存情况</w:t>
            </w:r>
            <w:bookmarkEnd w:id="119"/>
          </w:p>
        </w:tc>
        <w:tc>
          <w:tcPr>
            <w:tcW w:w="1814" w:type="dxa"/>
            <w:noWrap w:val="0"/>
            <w:vAlign w:val="center"/>
          </w:tcPr>
          <w:p>
            <w:pPr>
              <w:pStyle w:val="51"/>
              <w:jc w:val="center"/>
              <w:outlineLvl w:val="9"/>
              <w:rPr>
                <w:b w:val="0"/>
                <w:color w:val="auto"/>
                <w:sz w:val="24"/>
              </w:rPr>
            </w:pPr>
            <w:bookmarkStart w:id="120" w:name="_Toc18527"/>
            <w:r>
              <w:rPr>
                <w:rFonts w:hint="eastAsia"/>
                <w:b w:val="0"/>
                <w:color w:val="auto"/>
                <w:sz w:val="24"/>
              </w:rPr>
              <w:t>最终</w:t>
            </w:r>
            <w:r>
              <w:rPr>
                <w:b w:val="0"/>
                <w:color w:val="auto"/>
                <w:sz w:val="24"/>
              </w:rPr>
              <w:t>去向</w:t>
            </w:r>
            <w:bookmarkEnd w:id="12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661" w:type="dxa"/>
            <w:noWrap w:val="0"/>
            <w:vAlign w:val="center"/>
          </w:tcPr>
          <w:p>
            <w:pPr>
              <w:pStyle w:val="51"/>
              <w:jc w:val="center"/>
              <w:outlineLvl w:val="9"/>
              <w:rPr>
                <w:rFonts w:hint="default" w:ascii="Times New Roman" w:hAnsi="Times New Roman" w:eastAsia="宋体" w:cs="Times New Roman"/>
                <w:b w:val="0"/>
                <w:color w:val="000000" w:themeColor="text1"/>
                <w:kern w:val="2"/>
                <w:sz w:val="24"/>
                <w:szCs w:val="22"/>
                <w:lang w:val="en-US" w:eastAsia="zh-CN" w:bidi="ar-SA"/>
                <w14:textFill>
                  <w14:solidFill>
                    <w14:schemeClr w14:val="tx1"/>
                  </w14:solidFill>
                </w14:textFill>
              </w:rPr>
            </w:pPr>
            <w:r>
              <w:rPr>
                <w:rFonts w:hint="eastAsia"/>
                <w:b w:val="0"/>
                <w:color w:val="000000" w:themeColor="text1"/>
                <w:sz w:val="24"/>
                <w:lang w:val="en-US" w:eastAsia="zh-CN"/>
                <w14:textFill>
                  <w14:solidFill>
                    <w14:schemeClr w14:val="tx1"/>
                  </w14:solidFill>
                </w14:textFill>
              </w:rPr>
              <w:t>废旧胶片</w:t>
            </w:r>
          </w:p>
        </w:tc>
        <w:tc>
          <w:tcPr>
            <w:tcW w:w="873" w:type="dxa"/>
            <w:noWrap w:val="0"/>
            <w:vAlign w:val="center"/>
          </w:tcPr>
          <w:p>
            <w:pPr>
              <w:pStyle w:val="51"/>
              <w:jc w:val="center"/>
              <w:outlineLvl w:val="9"/>
              <w:rPr>
                <w:rFonts w:hint="default" w:ascii="Times New Roman" w:hAnsi="Times New Roman" w:eastAsia="宋体" w:cs="Times New Roman"/>
                <w:b w:val="0"/>
                <w:color w:val="000000" w:themeColor="text1"/>
                <w:kern w:val="2"/>
                <w:sz w:val="24"/>
                <w:szCs w:val="22"/>
                <w:lang w:val="en-US" w:eastAsia="zh-CN" w:bidi="ar-SA"/>
                <w14:textFill>
                  <w14:solidFill>
                    <w14:schemeClr w14:val="tx1"/>
                  </w14:solidFill>
                </w14:textFill>
              </w:rPr>
            </w:pPr>
            <w:r>
              <w:rPr>
                <w:rFonts w:hint="eastAsia"/>
                <w:b w:val="0"/>
                <w:color w:val="000000" w:themeColor="text1"/>
                <w:sz w:val="24"/>
                <w:lang w:val="en-US" w:eastAsia="zh-CN"/>
                <w14:textFill>
                  <w14:solidFill>
                    <w14:schemeClr w14:val="tx1"/>
                  </w14:solidFill>
                </w14:textFill>
              </w:rPr>
              <w:t>固态</w:t>
            </w:r>
          </w:p>
        </w:tc>
        <w:tc>
          <w:tcPr>
            <w:tcW w:w="1119" w:type="dxa"/>
            <w:noWrap w:val="0"/>
            <w:vAlign w:val="center"/>
          </w:tcPr>
          <w:p>
            <w:pPr>
              <w:pStyle w:val="51"/>
              <w:jc w:val="center"/>
              <w:outlineLvl w:val="9"/>
              <w:rPr>
                <w:b w:val="0"/>
                <w:color w:val="auto"/>
                <w:sz w:val="24"/>
              </w:rPr>
            </w:pPr>
            <w:bookmarkStart w:id="121" w:name="_Toc26282"/>
            <w:r>
              <w:rPr>
                <w:b w:val="0"/>
                <w:color w:val="auto"/>
                <w:sz w:val="24"/>
              </w:rPr>
              <w:t>/</w:t>
            </w:r>
            <w:bookmarkEnd w:id="121"/>
          </w:p>
        </w:tc>
        <w:tc>
          <w:tcPr>
            <w:tcW w:w="828" w:type="dxa"/>
            <w:noWrap w:val="0"/>
            <w:vAlign w:val="center"/>
          </w:tcPr>
          <w:p>
            <w:pPr>
              <w:pStyle w:val="51"/>
              <w:jc w:val="center"/>
              <w:outlineLvl w:val="9"/>
              <w:rPr>
                <w:b w:val="0"/>
                <w:color w:val="auto"/>
                <w:sz w:val="24"/>
              </w:rPr>
            </w:pPr>
            <w:bookmarkStart w:id="122" w:name="_Toc30914"/>
            <w:r>
              <w:rPr>
                <w:b w:val="0"/>
                <w:color w:val="auto"/>
                <w:sz w:val="24"/>
              </w:rPr>
              <w:t>/</w:t>
            </w:r>
            <w:bookmarkEnd w:id="122"/>
          </w:p>
        </w:tc>
        <w:tc>
          <w:tcPr>
            <w:tcW w:w="2820" w:type="dxa"/>
            <w:noWrap w:val="0"/>
            <w:vAlign w:val="center"/>
          </w:tcPr>
          <w:p>
            <w:pPr>
              <w:pStyle w:val="51"/>
              <w:jc w:val="center"/>
              <w:outlineLvl w:val="9"/>
              <w:rPr>
                <w:b w:val="0"/>
                <w:color w:val="auto"/>
                <w:sz w:val="24"/>
              </w:rPr>
            </w:pPr>
            <w:bookmarkStart w:id="123" w:name="_Toc17827"/>
            <w:r>
              <w:rPr>
                <w:b w:val="0"/>
                <w:color w:val="auto"/>
                <w:sz w:val="24"/>
              </w:rPr>
              <w:t>/</w:t>
            </w:r>
            <w:bookmarkEnd w:id="123"/>
          </w:p>
        </w:tc>
        <w:tc>
          <w:tcPr>
            <w:tcW w:w="2158" w:type="dxa"/>
            <w:noWrap w:val="0"/>
            <w:vAlign w:val="center"/>
          </w:tcPr>
          <w:p>
            <w:pPr>
              <w:pStyle w:val="51"/>
              <w:jc w:val="center"/>
              <w:outlineLvl w:val="9"/>
              <w:rPr>
                <w:b w:val="0"/>
                <w:color w:val="auto"/>
                <w:sz w:val="24"/>
              </w:rPr>
            </w:pPr>
            <w:bookmarkStart w:id="124" w:name="_Toc25400"/>
            <w:r>
              <w:rPr>
                <w:b w:val="0"/>
                <w:color w:val="auto"/>
                <w:sz w:val="24"/>
              </w:rPr>
              <w:t>/</w:t>
            </w:r>
            <w:bookmarkEnd w:id="124"/>
          </w:p>
        </w:tc>
        <w:tc>
          <w:tcPr>
            <w:tcW w:w="1237" w:type="dxa"/>
            <w:noWrap w:val="0"/>
            <w:vAlign w:val="center"/>
          </w:tcPr>
          <w:p>
            <w:pPr>
              <w:pStyle w:val="51"/>
              <w:jc w:val="center"/>
              <w:outlineLvl w:val="9"/>
              <w:rPr>
                <w:b w:val="0"/>
                <w:color w:val="auto"/>
                <w:sz w:val="24"/>
              </w:rPr>
            </w:pPr>
            <w:bookmarkStart w:id="125" w:name="_Toc5310"/>
            <w:r>
              <w:rPr>
                <w:b w:val="0"/>
                <w:color w:val="auto"/>
                <w:sz w:val="24"/>
              </w:rPr>
              <w:t>/</w:t>
            </w:r>
            <w:bookmarkEnd w:id="125"/>
          </w:p>
        </w:tc>
        <w:tc>
          <w:tcPr>
            <w:tcW w:w="1664" w:type="dxa"/>
            <w:noWrap w:val="0"/>
            <w:vAlign w:val="center"/>
          </w:tcPr>
          <w:p>
            <w:pPr>
              <w:pStyle w:val="51"/>
              <w:jc w:val="center"/>
              <w:outlineLvl w:val="9"/>
              <w:rPr>
                <w:rFonts w:hint="default" w:eastAsia="宋体"/>
                <w:b w:val="0"/>
                <w:color w:val="auto"/>
                <w:sz w:val="24"/>
                <w:lang w:val="en-US" w:eastAsia="zh-CN"/>
              </w:rPr>
            </w:pPr>
            <w:r>
              <w:rPr>
                <w:rFonts w:hint="eastAsia"/>
                <w:b w:val="0"/>
                <w:color w:val="auto"/>
                <w:sz w:val="24"/>
                <w:lang w:val="en-US" w:eastAsia="zh-CN"/>
              </w:rPr>
              <w:t>危废暂存间</w:t>
            </w:r>
          </w:p>
        </w:tc>
        <w:tc>
          <w:tcPr>
            <w:tcW w:w="1814" w:type="dxa"/>
            <w:noWrap w:val="0"/>
            <w:vAlign w:val="center"/>
          </w:tcPr>
          <w:p>
            <w:pPr>
              <w:pStyle w:val="51"/>
              <w:jc w:val="center"/>
              <w:outlineLvl w:val="9"/>
              <w:rPr>
                <w:rFonts w:hint="default" w:eastAsia="宋体"/>
                <w:b w:val="0"/>
                <w:color w:val="auto"/>
                <w:sz w:val="24"/>
                <w:lang w:val="en-US" w:eastAsia="zh-CN"/>
              </w:rPr>
            </w:pPr>
            <w:r>
              <w:rPr>
                <w:rFonts w:hint="eastAsia"/>
                <w:b w:val="0"/>
                <w:color w:val="auto"/>
                <w:sz w:val="24"/>
                <w:lang w:val="en-US" w:eastAsia="zh-CN"/>
              </w:rPr>
              <w:t>交有资质单位处理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661" w:type="dxa"/>
            <w:noWrap w:val="0"/>
            <w:vAlign w:val="center"/>
          </w:tcPr>
          <w:p>
            <w:pPr>
              <w:pStyle w:val="51"/>
              <w:jc w:val="center"/>
              <w:outlineLvl w:val="9"/>
              <w:rPr>
                <w:rFonts w:hint="default" w:ascii="Times New Roman" w:hAnsi="Times New Roman" w:eastAsia="宋体" w:cs="Times New Roman"/>
                <w:b w:val="0"/>
                <w:color w:val="000000" w:themeColor="text1"/>
                <w:kern w:val="2"/>
                <w:sz w:val="24"/>
                <w:szCs w:val="22"/>
                <w:lang w:val="en-US" w:eastAsia="zh-CN" w:bidi="ar-SA"/>
                <w14:textFill>
                  <w14:solidFill>
                    <w14:schemeClr w14:val="tx1"/>
                  </w14:solidFill>
                </w14:textFill>
              </w:rPr>
            </w:pPr>
            <w:r>
              <w:rPr>
                <w:rFonts w:hint="eastAsia"/>
                <w:b w:val="0"/>
                <w:color w:val="000000" w:themeColor="text1"/>
                <w:sz w:val="24"/>
                <w:lang w:val="en-US" w:eastAsia="zh-CN"/>
                <w14:textFill>
                  <w14:solidFill>
                    <w14:schemeClr w14:val="tx1"/>
                  </w14:solidFill>
                </w14:textFill>
              </w:rPr>
              <w:t>废定影液、废显影液</w:t>
            </w:r>
          </w:p>
        </w:tc>
        <w:tc>
          <w:tcPr>
            <w:tcW w:w="873" w:type="dxa"/>
            <w:noWrap w:val="0"/>
            <w:vAlign w:val="center"/>
          </w:tcPr>
          <w:p>
            <w:pPr>
              <w:pStyle w:val="51"/>
              <w:jc w:val="center"/>
              <w:outlineLvl w:val="9"/>
              <w:rPr>
                <w:rFonts w:hint="eastAsia" w:ascii="Times New Roman" w:hAnsi="Times New Roman" w:eastAsia="宋体" w:cs="Times New Roman"/>
                <w:b w:val="0"/>
                <w:color w:val="000000" w:themeColor="text1"/>
                <w:kern w:val="2"/>
                <w:sz w:val="24"/>
                <w:szCs w:val="22"/>
                <w:lang w:val="en-US" w:eastAsia="zh-CN" w:bidi="ar-SA"/>
                <w14:textFill>
                  <w14:solidFill>
                    <w14:schemeClr w14:val="tx1"/>
                  </w14:solidFill>
                </w14:textFill>
              </w:rPr>
            </w:pPr>
            <w:r>
              <w:rPr>
                <w:rFonts w:hint="eastAsia"/>
                <w:b w:val="0"/>
                <w:color w:val="000000" w:themeColor="text1"/>
                <w:sz w:val="24"/>
                <w:lang w:val="en-US" w:eastAsia="zh-CN"/>
                <w14:textFill>
                  <w14:solidFill>
                    <w14:schemeClr w14:val="tx1"/>
                  </w14:solidFill>
                </w14:textFill>
              </w:rPr>
              <w:t>液态</w:t>
            </w:r>
          </w:p>
        </w:tc>
        <w:tc>
          <w:tcPr>
            <w:tcW w:w="1119" w:type="dxa"/>
            <w:noWrap w:val="0"/>
            <w:vAlign w:val="center"/>
          </w:tcPr>
          <w:p>
            <w:pPr>
              <w:pStyle w:val="51"/>
              <w:jc w:val="center"/>
              <w:outlineLvl w:val="9"/>
              <w:rPr>
                <w:rFonts w:ascii="Times New Roman" w:hAnsi="Times New Roman" w:eastAsia="宋体" w:cs="Times New Roman"/>
                <w:b w:val="0"/>
                <w:color w:val="auto"/>
                <w:kern w:val="2"/>
                <w:sz w:val="24"/>
                <w:szCs w:val="22"/>
                <w:lang w:val="en-US" w:eastAsia="zh-CN" w:bidi="ar-SA"/>
              </w:rPr>
            </w:pPr>
            <w:r>
              <w:rPr>
                <w:b w:val="0"/>
                <w:color w:val="auto"/>
                <w:sz w:val="24"/>
              </w:rPr>
              <w:t>/</w:t>
            </w:r>
          </w:p>
        </w:tc>
        <w:tc>
          <w:tcPr>
            <w:tcW w:w="828" w:type="dxa"/>
            <w:noWrap w:val="0"/>
            <w:vAlign w:val="center"/>
          </w:tcPr>
          <w:p>
            <w:pPr>
              <w:pStyle w:val="51"/>
              <w:jc w:val="center"/>
              <w:outlineLvl w:val="9"/>
              <w:rPr>
                <w:rFonts w:ascii="Times New Roman" w:hAnsi="Times New Roman" w:eastAsia="宋体" w:cs="Times New Roman"/>
                <w:b w:val="0"/>
                <w:color w:val="auto"/>
                <w:kern w:val="2"/>
                <w:sz w:val="24"/>
                <w:szCs w:val="22"/>
                <w:lang w:val="en-US" w:eastAsia="zh-CN" w:bidi="ar-SA"/>
              </w:rPr>
            </w:pPr>
            <w:r>
              <w:rPr>
                <w:b w:val="0"/>
                <w:color w:val="auto"/>
                <w:sz w:val="24"/>
              </w:rPr>
              <w:t>/</w:t>
            </w:r>
          </w:p>
        </w:tc>
        <w:tc>
          <w:tcPr>
            <w:tcW w:w="2820" w:type="dxa"/>
            <w:noWrap w:val="0"/>
            <w:vAlign w:val="center"/>
          </w:tcPr>
          <w:p>
            <w:pPr>
              <w:pStyle w:val="51"/>
              <w:jc w:val="center"/>
              <w:outlineLvl w:val="9"/>
              <w:rPr>
                <w:rFonts w:ascii="Times New Roman" w:hAnsi="Times New Roman" w:eastAsia="宋体" w:cs="Times New Roman"/>
                <w:b w:val="0"/>
                <w:color w:val="auto"/>
                <w:kern w:val="2"/>
                <w:sz w:val="24"/>
                <w:szCs w:val="22"/>
                <w:lang w:val="en-US" w:eastAsia="zh-CN" w:bidi="ar-SA"/>
              </w:rPr>
            </w:pPr>
            <w:r>
              <w:rPr>
                <w:b w:val="0"/>
                <w:color w:val="auto"/>
                <w:sz w:val="24"/>
              </w:rPr>
              <w:t>/</w:t>
            </w:r>
          </w:p>
        </w:tc>
        <w:tc>
          <w:tcPr>
            <w:tcW w:w="2158" w:type="dxa"/>
            <w:noWrap w:val="0"/>
            <w:vAlign w:val="center"/>
          </w:tcPr>
          <w:p>
            <w:pPr>
              <w:pStyle w:val="51"/>
              <w:jc w:val="center"/>
              <w:outlineLvl w:val="9"/>
              <w:rPr>
                <w:rFonts w:ascii="Times New Roman" w:hAnsi="Times New Roman" w:eastAsia="宋体" w:cs="Times New Roman"/>
                <w:b w:val="0"/>
                <w:color w:val="auto"/>
                <w:kern w:val="2"/>
                <w:sz w:val="24"/>
                <w:szCs w:val="22"/>
                <w:lang w:val="en-US" w:eastAsia="zh-CN" w:bidi="ar-SA"/>
              </w:rPr>
            </w:pPr>
            <w:r>
              <w:rPr>
                <w:b w:val="0"/>
                <w:color w:val="auto"/>
                <w:sz w:val="24"/>
              </w:rPr>
              <w:t>/</w:t>
            </w:r>
          </w:p>
        </w:tc>
        <w:tc>
          <w:tcPr>
            <w:tcW w:w="1237" w:type="dxa"/>
            <w:noWrap w:val="0"/>
            <w:vAlign w:val="center"/>
          </w:tcPr>
          <w:p>
            <w:pPr>
              <w:pStyle w:val="51"/>
              <w:jc w:val="center"/>
              <w:outlineLvl w:val="9"/>
              <w:rPr>
                <w:rFonts w:ascii="Times New Roman" w:hAnsi="Times New Roman" w:eastAsia="宋体" w:cs="Times New Roman"/>
                <w:b w:val="0"/>
                <w:color w:val="auto"/>
                <w:kern w:val="2"/>
                <w:sz w:val="24"/>
                <w:szCs w:val="22"/>
                <w:lang w:val="en-US" w:eastAsia="zh-CN" w:bidi="ar-SA"/>
              </w:rPr>
            </w:pPr>
            <w:r>
              <w:rPr>
                <w:b w:val="0"/>
                <w:color w:val="auto"/>
                <w:sz w:val="24"/>
              </w:rPr>
              <w:t>/</w:t>
            </w:r>
          </w:p>
        </w:tc>
        <w:tc>
          <w:tcPr>
            <w:tcW w:w="1664" w:type="dxa"/>
            <w:noWrap w:val="0"/>
            <w:vAlign w:val="center"/>
          </w:tcPr>
          <w:p>
            <w:pPr>
              <w:pStyle w:val="51"/>
              <w:jc w:val="center"/>
              <w:outlineLvl w:val="9"/>
              <w:rPr>
                <w:rFonts w:ascii="Times New Roman" w:hAnsi="Times New Roman" w:eastAsia="宋体" w:cs="Times New Roman"/>
                <w:b w:val="0"/>
                <w:color w:val="auto"/>
                <w:kern w:val="2"/>
                <w:sz w:val="24"/>
                <w:szCs w:val="22"/>
                <w:lang w:val="en-US" w:eastAsia="zh-CN" w:bidi="ar-SA"/>
              </w:rPr>
            </w:pPr>
            <w:r>
              <w:rPr>
                <w:rFonts w:hint="eastAsia"/>
                <w:b w:val="0"/>
                <w:color w:val="auto"/>
                <w:sz w:val="24"/>
                <w:lang w:val="en-US" w:eastAsia="zh-CN"/>
              </w:rPr>
              <w:t>危废暂存间</w:t>
            </w:r>
          </w:p>
        </w:tc>
        <w:tc>
          <w:tcPr>
            <w:tcW w:w="1814" w:type="dxa"/>
            <w:noWrap w:val="0"/>
            <w:vAlign w:val="center"/>
          </w:tcPr>
          <w:p>
            <w:pPr>
              <w:pStyle w:val="51"/>
              <w:jc w:val="center"/>
              <w:outlineLvl w:val="9"/>
              <w:rPr>
                <w:rFonts w:ascii="Times New Roman" w:hAnsi="Times New Roman" w:eastAsia="宋体" w:cs="Times New Roman"/>
                <w:b w:val="0"/>
                <w:color w:val="auto"/>
                <w:kern w:val="2"/>
                <w:sz w:val="24"/>
                <w:szCs w:val="22"/>
                <w:lang w:val="en-US" w:eastAsia="zh-CN" w:bidi="ar-SA"/>
              </w:rPr>
            </w:pPr>
            <w:r>
              <w:rPr>
                <w:rFonts w:hint="eastAsia"/>
                <w:b w:val="0"/>
                <w:color w:val="auto"/>
                <w:sz w:val="24"/>
                <w:lang w:val="en-US" w:eastAsia="zh-CN"/>
              </w:rPr>
              <w:t>交有资质单位处理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661" w:type="dxa"/>
            <w:noWrap w:val="0"/>
            <w:vAlign w:val="center"/>
          </w:tcPr>
          <w:p>
            <w:pPr>
              <w:pStyle w:val="51"/>
              <w:jc w:val="center"/>
              <w:outlineLvl w:val="9"/>
              <w:rPr>
                <w:rFonts w:hint="eastAsia" w:ascii="Times New Roman" w:hAnsi="Times New Roman" w:eastAsia="宋体" w:cs="Times New Roman"/>
                <w:b w:val="0"/>
                <w:color w:val="000000" w:themeColor="text1"/>
                <w:kern w:val="2"/>
                <w:sz w:val="24"/>
                <w:szCs w:val="22"/>
                <w:lang w:val="en-US" w:eastAsia="zh-CN" w:bidi="ar-SA"/>
                <w14:textFill>
                  <w14:solidFill>
                    <w14:schemeClr w14:val="tx1"/>
                  </w14:solidFill>
                </w14:textFill>
              </w:rPr>
            </w:pPr>
            <w:r>
              <w:rPr>
                <w:rFonts w:hint="eastAsia"/>
                <w:b w:val="0"/>
                <w:color w:val="000000" w:themeColor="text1"/>
                <w:sz w:val="24"/>
                <w:lang w:val="en-US" w:eastAsia="zh-CN"/>
                <w14:textFill>
                  <w14:solidFill>
                    <w14:schemeClr w14:val="tx1"/>
                  </w14:solidFill>
                </w14:textFill>
              </w:rPr>
              <w:t>冲洗废水</w:t>
            </w:r>
          </w:p>
        </w:tc>
        <w:tc>
          <w:tcPr>
            <w:tcW w:w="873" w:type="dxa"/>
            <w:noWrap w:val="0"/>
            <w:vAlign w:val="center"/>
          </w:tcPr>
          <w:p>
            <w:pPr>
              <w:pStyle w:val="51"/>
              <w:jc w:val="center"/>
              <w:outlineLvl w:val="9"/>
              <w:rPr>
                <w:rFonts w:hint="eastAsia" w:ascii="Times New Roman" w:hAnsi="Times New Roman" w:eastAsia="宋体" w:cs="Times New Roman"/>
                <w:b w:val="0"/>
                <w:color w:val="000000" w:themeColor="text1"/>
                <w:kern w:val="2"/>
                <w:sz w:val="24"/>
                <w:szCs w:val="22"/>
                <w:lang w:val="en-US" w:eastAsia="zh-CN" w:bidi="ar-SA"/>
                <w14:textFill>
                  <w14:solidFill>
                    <w14:schemeClr w14:val="tx1"/>
                  </w14:solidFill>
                </w14:textFill>
              </w:rPr>
            </w:pPr>
            <w:r>
              <w:rPr>
                <w:rFonts w:hint="eastAsia"/>
                <w:b w:val="0"/>
                <w:color w:val="000000" w:themeColor="text1"/>
                <w:sz w:val="24"/>
                <w:lang w:val="en-US" w:eastAsia="zh-CN"/>
                <w14:textFill>
                  <w14:solidFill>
                    <w14:schemeClr w14:val="tx1"/>
                  </w14:solidFill>
                </w14:textFill>
              </w:rPr>
              <w:t>液态</w:t>
            </w:r>
          </w:p>
        </w:tc>
        <w:tc>
          <w:tcPr>
            <w:tcW w:w="1119" w:type="dxa"/>
            <w:noWrap w:val="0"/>
            <w:vAlign w:val="center"/>
          </w:tcPr>
          <w:p>
            <w:pPr>
              <w:pStyle w:val="51"/>
              <w:jc w:val="center"/>
              <w:outlineLvl w:val="9"/>
              <w:rPr>
                <w:rFonts w:ascii="Times New Roman" w:hAnsi="Times New Roman" w:eastAsia="宋体" w:cs="Times New Roman"/>
                <w:b w:val="0"/>
                <w:color w:val="auto"/>
                <w:kern w:val="2"/>
                <w:sz w:val="24"/>
                <w:szCs w:val="22"/>
                <w:lang w:val="en-US" w:eastAsia="zh-CN" w:bidi="ar-SA"/>
              </w:rPr>
            </w:pPr>
            <w:r>
              <w:rPr>
                <w:b w:val="0"/>
                <w:color w:val="auto"/>
                <w:sz w:val="24"/>
              </w:rPr>
              <w:t>/</w:t>
            </w:r>
          </w:p>
        </w:tc>
        <w:tc>
          <w:tcPr>
            <w:tcW w:w="828" w:type="dxa"/>
            <w:noWrap w:val="0"/>
            <w:vAlign w:val="center"/>
          </w:tcPr>
          <w:p>
            <w:pPr>
              <w:pStyle w:val="51"/>
              <w:jc w:val="center"/>
              <w:outlineLvl w:val="9"/>
              <w:rPr>
                <w:rFonts w:ascii="Times New Roman" w:hAnsi="Times New Roman" w:eastAsia="宋体" w:cs="Times New Roman"/>
                <w:b w:val="0"/>
                <w:color w:val="auto"/>
                <w:kern w:val="2"/>
                <w:sz w:val="24"/>
                <w:szCs w:val="22"/>
                <w:lang w:val="en-US" w:eastAsia="zh-CN" w:bidi="ar-SA"/>
              </w:rPr>
            </w:pPr>
            <w:r>
              <w:rPr>
                <w:b w:val="0"/>
                <w:color w:val="auto"/>
                <w:sz w:val="24"/>
              </w:rPr>
              <w:t>/</w:t>
            </w:r>
          </w:p>
        </w:tc>
        <w:tc>
          <w:tcPr>
            <w:tcW w:w="2820" w:type="dxa"/>
            <w:noWrap w:val="0"/>
            <w:vAlign w:val="center"/>
          </w:tcPr>
          <w:p>
            <w:pPr>
              <w:pStyle w:val="51"/>
              <w:jc w:val="center"/>
              <w:outlineLvl w:val="9"/>
              <w:rPr>
                <w:rFonts w:ascii="Times New Roman" w:hAnsi="Times New Roman" w:eastAsia="宋体" w:cs="Times New Roman"/>
                <w:b w:val="0"/>
                <w:color w:val="auto"/>
                <w:kern w:val="2"/>
                <w:sz w:val="24"/>
                <w:szCs w:val="22"/>
                <w:lang w:val="en-US" w:eastAsia="zh-CN" w:bidi="ar-SA"/>
              </w:rPr>
            </w:pPr>
            <w:r>
              <w:rPr>
                <w:b w:val="0"/>
                <w:color w:val="auto"/>
                <w:sz w:val="24"/>
              </w:rPr>
              <w:t>/</w:t>
            </w:r>
          </w:p>
        </w:tc>
        <w:tc>
          <w:tcPr>
            <w:tcW w:w="2158" w:type="dxa"/>
            <w:noWrap w:val="0"/>
            <w:vAlign w:val="center"/>
          </w:tcPr>
          <w:p>
            <w:pPr>
              <w:pStyle w:val="51"/>
              <w:jc w:val="center"/>
              <w:outlineLvl w:val="9"/>
              <w:rPr>
                <w:rFonts w:ascii="Times New Roman" w:hAnsi="Times New Roman" w:eastAsia="宋体" w:cs="Times New Roman"/>
                <w:b w:val="0"/>
                <w:color w:val="auto"/>
                <w:kern w:val="2"/>
                <w:sz w:val="24"/>
                <w:szCs w:val="22"/>
                <w:lang w:val="en-US" w:eastAsia="zh-CN" w:bidi="ar-SA"/>
              </w:rPr>
            </w:pPr>
            <w:r>
              <w:rPr>
                <w:b w:val="0"/>
                <w:color w:val="auto"/>
                <w:sz w:val="24"/>
              </w:rPr>
              <w:t>/</w:t>
            </w:r>
          </w:p>
        </w:tc>
        <w:tc>
          <w:tcPr>
            <w:tcW w:w="1237" w:type="dxa"/>
            <w:noWrap w:val="0"/>
            <w:vAlign w:val="center"/>
          </w:tcPr>
          <w:p>
            <w:pPr>
              <w:pStyle w:val="51"/>
              <w:jc w:val="center"/>
              <w:outlineLvl w:val="9"/>
              <w:rPr>
                <w:rFonts w:ascii="Times New Roman" w:hAnsi="Times New Roman" w:eastAsia="宋体" w:cs="Times New Roman"/>
                <w:b w:val="0"/>
                <w:color w:val="auto"/>
                <w:kern w:val="2"/>
                <w:sz w:val="24"/>
                <w:szCs w:val="22"/>
                <w:lang w:val="en-US" w:eastAsia="zh-CN" w:bidi="ar-SA"/>
              </w:rPr>
            </w:pPr>
            <w:r>
              <w:rPr>
                <w:b w:val="0"/>
                <w:color w:val="auto"/>
                <w:sz w:val="24"/>
              </w:rPr>
              <w:t>/</w:t>
            </w:r>
          </w:p>
        </w:tc>
        <w:tc>
          <w:tcPr>
            <w:tcW w:w="1664" w:type="dxa"/>
            <w:noWrap w:val="0"/>
            <w:vAlign w:val="center"/>
          </w:tcPr>
          <w:p>
            <w:pPr>
              <w:pStyle w:val="51"/>
              <w:jc w:val="center"/>
              <w:outlineLvl w:val="9"/>
              <w:rPr>
                <w:rFonts w:ascii="Times New Roman" w:hAnsi="Times New Roman" w:eastAsia="宋体" w:cs="Times New Roman"/>
                <w:b w:val="0"/>
                <w:color w:val="auto"/>
                <w:kern w:val="2"/>
                <w:sz w:val="24"/>
                <w:szCs w:val="22"/>
                <w:lang w:val="en-US" w:eastAsia="zh-CN" w:bidi="ar-SA"/>
              </w:rPr>
            </w:pPr>
            <w:r>
              <w:rPr>
                <w:rFonts w:hint="eastAsia"/>
                <w:b w:val="0"/>
                <w:color w:val="auto"/>
                <w:sz w:val="24"/>
                <w:lang w:val="en-US" w:eastAsia="zh-CN"/>
              </w:rPr>
              <w:t>危废暂存间</w:t>
            </w:r>
          </w:p>
        </w:tc>
        <w:tc>
          <w:tcPr>
            <w:tcW w:w="1814" w:type="dxa"/>
            <w:noWrap w:val="0"/>
            <w:vAlign w:val="center"/>
          </w:tcPr>
          <w:p>
            <w:pPr>
              <w:pStyle w:val="51"/>
              <w:jc w:val="center"/>
              <w:outlineLvl w:val="9"/>
              <w:rPr>
                <w:rFonts w:ascii="Times New Roman" w:hAnsi="Times New Roman" w:eastAsia="宋体" w:cs="Times New Roman"/>
                <w:b w:val="0"/>
                <w:color w:val="auto"/>
                <w:kern w:val="2"/>
                <w:sz w:val="24"/>
                <w:szCs w:val="22"/>
                <w:lang w:val="en-US" w:eastAsia="zh-CN" w:bidi="ar-SA"/>
              </w:rPr>
            </w:pPr>
            <w:r>
              <w:rPr>
                <w:rFonts w:hint="eastAsia"/>
                <w:b w:val="0"/>
                <w:color w:val="auto"/>
                <w:sz w:val="24"/>
                <w:lang w:val="en-US" w:eastAsia="zh-CN"/>
              </w:rPr>
              <w:t>交有资质单位处理</w:t>
            </w:r>
          </w:p>
        </w:tc>
      </w:tr>
    </w:tbl>
    <w:p>
      <w:pPr>
        <w:pStyle w:val="47"/>
        <w:ind w:firstLine="0" w:firstLineChars="0"/>
        <w:rPr>
          <w:color w:val="auto"/>
        </w:rPr>
      </w:pPr>
      <w:r>
        <w:rPr>
          <w:rFonts w:hint="eastAsia"/>
          <w:color w:val="auto"/>
        </w:rPr>
        <w:t>注：1.常规废弃物排放浓度,对于液态单位为mg/L,固体为mg/kg,气态为mg/m</w:t>
      </w:r>
      <w:r>
        <w:rPr>
          <w:rFonts w:hint="eastAsia"/>
          <w:color w:val="auto"/>
          <w:vertAlign w:val="superscript"/>
        </w:rPr>
        <w:t>3</w:t>
      </w:r>
      <w:r>
        <w:rPr>
          <w:rFonts w:hint="eastAsia"/>
          <w:color w:val="auto"/>
        </w:rPr>
        <w:t>;年排放总量用kg。</w:t>
      </w:r>
    </w:p>
    <w:p>
      <w:pPr>
        <w:pStyle w:val="47"/>
        <w:ind w:firstLine="0" w:firstLineChars="0"/>
        <w:rPr>
          <w:color w:val="auto"/>
        </w:rPr>
        <w:sectPr>
          <w:pgSz w:w="16838" w:h="11906" w:orient="landscape"/>
          <w:pgMar w:top="1800" w:right="1440" w:bottom="1800" w:left="1440" w:header="851" w:footer="992" w:gutter="0"/>
          <w:cols w:space="720" w:num="1"/>
          <w:docGrid w:type="lines" w:linePitch="312" w:charSpace="0"/>
        </w:sectPr>
      </w:pPr>
      <w:r>
        <w:rPr>
          <w:rFonts w:hint="eastAsia"/>
          <w:color w:val="auto"/>
        </w:rPr>
        <w:t>2.含有放射性的废弃物要注明,其排放浓度、年排放总量分别用比活度（Bq/L或Bq/kg,或Bq/m</w:t>
      </w:r>
      <w:r>
        <w:rPr>
          <w:rFonts w:hint="eastAsia"/>
          <w:color w:val="auto"/>
          <w:vertAlign w:val="superscript"/>
        </w:rPr>
        <w:t>3</w:t>
      </w:r>
      <w:r>
        <w:rPr>
          <w:rFonts w:hint="eastAsia"/>
          <w:color w:val="auto"/>
        </w:rPr>
        <w:t>）和活度（Bq）。</w:t>
      </w:r>
    </w:p>
    <w:p>
      <w:pPr>
        <w:pStyle w:val="51"/>
        <w:rPr>
          <w:color w:val="auto"/>
        </w:rPr>
      </w:pPr>
      <w:bookmarkStart w:id="126" w:name="_Toc16776"/>
      <w:r>
        <w:rPr>
          <w:rFonts w:hint="eastAsia"/>
          <w:color w:val="auto"/>
        </w:rPr>
        <w:t>表6评价依据</w:t>
      </w:r>
      <w:bookmarkEnd w:id="126"/>
    </w:p>
    <w:tbl>
      <w:tblPr>
        <w:tblStyle w:val="23"/>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75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noWrap w:val="0"/>
            <w:vAlign w:val="center"/>
          </w:tcPr>
          <w:p>
            <w:pPr>
              <w:pStyle w:val="45"/>
              <w:spacing w:before="156" w:after="156"/>
              <w:jc w:val="center"/>
              <w:rPr>
                <w:color w:val="auto"/>
              </w:rPr>
            </w:pPr>
            <w:r>
              <w:rPr>
                <w:rFonts w:hint="eastAsia"/>
                <w:color w:val="auto"/>
              </w:rPr>
              <w:t>法规</w:t>
            </w:r>
            <w:r>
              <w:rPr>
                <w:color w:val="auto"/>
              </w:rPr>
              <w:t>文件</w:t>
            </w:r>
          </w:p>
        </w:tc>
        <w:tc>
          <w:tcPr>
            <w:tcW w:w="7592" w:type="dxa"/>
            <w:noWrap w:val="0"/>
            <w:vAlign w:val="center"/>
          </w:tcPr>
          <w:p>
            <w:pPr>
              <w:pStyle w:val="56"/>
              <w:numPr>
                <w:ilvl w:val="0"/>
                <w:numId w:val="1"/>
              </w:numPr>
              <w:spacing w:line="360" w:lineRule="auto"/>
              <w:ind w:left="0" w:firstLine="0"/>
              <w:rPr>
                <w:rFonts w:ascii="Times New Roman" w:hAnsi="Times New Roman" w:cs="Times New Roman"/>
                <w:color w:val="auto"/>
                <w:sz w:val="24"/>
              </w:rPr>
            </w:pPr>
            <w:r>
              <w:rPr>
                <w:rFonts w:ascii="Times New Roman" w:cs="Times New Roman"/>
                <w:color w:val="auto"/>
                <w:sz w:val="24"/>
              </w:rPr>
              <w:t>《中华人民共和国环境保护法》</w:t>
            </w:r>
            <w:r>
              <w:rPr>
                <w:rFonts w:ascii="Times New Roman" w:hAnsi="Times New Roman" w:cs="Times New Roman"/>
                <w:color w:val="auto"/>
                <w:sz w:val="24"/>
              </w:rPr>
              <w:t>2014</w:t>
            </w:r>
            <w:r>
              <w:rPr>
                <w:rFonts w:ascii="Times New Roman" w:cs="Times New Roman"/>
                <w:color w:val="auto"/>
                <w:sz w:val="24"/>
              </w:rPr>
              <w:t>年</w:t>
            </w:r>
            <w:r>
              <w:rPr>
                <w:rFonts w:ascii="Times New Roman" w:hAnsi="Times New Roman" w:cs="Times New Roman"/>
                <w:color w:val="auto"/>
                <w:sz w:val="24"/>
              </w:rPr>
              <w:t>4</w:t>
            </w:r>
            <w:r>
              <w:rPr>
                <w:rFonts w:ascii="Times New Roman" w:cs="Times New Roman"/>
                <w:color w:val="auto"/>
                <w:sz w:val="24"/>
              </w:rPr>
              <w:t>月</w:t>
            </w:r>
            <w:r>
              <w:rPr>
                <w:rFonts w:ascii="Times New Roman" w:hAnsi="Times New Roman" w:cs="Times New Roman"/>
                <w:color w:val="auto"/>
                <w:sz w:val="24"/>
              </w:rPr>
              <w:t>24</w:t>
            </w:r>
            <w:r>
              <w:rPr>
                <w:rFonts w:ascii="Times New Roman" w:cs="Times New Roman"/>
                <w:color w:val="auto"/>
                <w:sz w:val="24"/>
              </w:rPr>
              <w:t>日修订；</w:t>
            </w:r>
          </w:p>
          <w:p>
            <w:pPr>
              <w:pStyle w:val="56"/>
              <w:numPr>
                <w:ilvl w:val="0"/>
                <w:numId w:val="1"/>
              </w:numPr>
              <w:spacing w:line="360" w:lineRule="auto"/>
              <w:ind w:left="0" w:firstLine="0"/>
              <w:rPr>
                <w:rFonts w:ascii="Times New Roman" w:hAnsi="Times New Roman" w:cs="Times New Roman"/>
                <w:color w:val="auto"/>
                <w:sz w:val="24"/>
              </w:rPr>
            </w:pPr>
            <w:r>
              <w:rPr>
                <w:rFonts w:ascii="Times New Roman" w:cs="Times New Roman"/>
                <w:color w:val="auto"/>
                <w:sz w:val="24"/>
              </w:rPr>
              <w:t>《中华人民共和国环境影响评价法》，</w:t>
            </w:r>
            <w:r>
              <w:rPr>
                <w:rFonts w:ascii="Times New Roman" w:hAnsi="Times New Roman" w:cs="Times New Roman"/>
                <w:color w:val="auto"/>
                <w:sz w:val="24"/>
              </w:rPr>
              <w:t>2018</w:t>
            </w:r>
            <w:r>
              <w:rPr>
                <w:rFonts w:ascii="Times New Roman" w:cs="Times New Roman"/>
                <w:color w:val="auto"/>
                <w:sz w:val="24"/>
              </w:rPr>
              <w:t>年</w:t>
            </w:r>
            <w:r>
              <w:rPr>
                <w:rFonts w:ascii="Times New Roman" w:hAnsi="Times New Roman" w:cs="Times New Roman"/>
                <w:color w:val="auto"/>
                <w:sz w:val="24"/>
              </w:rPr>
              <w:t>12</w:t>
            </w:r>
            <w:r>
              <w:rPr>
                <w:rFonts w:ascii="Times New Roman" w:cs="Times New Roman"/>
                <w:color w:val="auto"/>
                <w:sz w:val="24"/>
              </w:rPr>
              <w:t>月</w:t>
            </w:r>
            <w:r>
              <w:rPr>
                <w:rFonts w:ascii="Times New Roman" w:hAnsi="Times New Roman" w:cs="Times New Roman"/>
                <w:color w:val="auto"/>
                <w:sz w:val="24"/>
              </w:rPr>
              <w:t>29</w:t>
            </w:r>
            <w:r>
              <w:rPr>
                <w:rFonts w:ascii="Times New Roman" w:cs="Times New Roman"/>
                <w:color w:val="auto"/>
                <w:sz w:val="24"/>
              </w:rPr>
              <w:t>日修订；</w:t>
            </w:r>
          </w:p>
          <w:p>
            <w:pPr>
              <w:pStyle w:val="56"/>
              <w:numPr>
                <w:ilvl w:val="0"/>
                <w:numId w:val="1"/>
              </w:numPr>
              <w:spacing w:line="360" w:lineRule="auto"/>
              <w:ind w:left="0" w:firstLine="0"/>
              <w:rPr>
                <w:rFonts w:ascii="Times New Roman" w:hAnsi="Times New Roman" w:cs="Times New Roman"/>
                <w:color w:val="auto"/>
                <w:sz w:val="24"/>
              </w:rPr>
            </w:pPr>
            <w:r>
              <w:rPr>
                <w:rFonts w:ascii="Times New Roman" w:cs="Times New Roman"/>
                <w:color w:val="auto"/>
                <w:sz w:val="24"/>
              </w:rPr>
              <w:t>《中华人民共和国放射性污染防治法》，</w:t>
            </w:r>
            <w:r>
              <w:rPr>
                <w:rFonts w:ascii="Times New Roman" w:hAnsi="Times New Roman" w:cs="Times New Roman"/>
                <w:color w:val="auto"/>
                <w:sz w:val="24"/>
              </w:rPr>
              <w:t>2003</w:t>
            </w:r>
            <w:r>
              <w:rPr>
                <w:rFonts w:ascii="Times New Roman" w:cs="Times New Roman"/>
                <w:color w:val="auto"/>
                <w:sz w:val="24"/>
              </w:rPr>
              <w:t>年</w:t>
            </w:r>
            <w:r>
              <w:rPr>
                <w:rFonts w:ascii="Times New Roman" w:hAnsi="Times New Roman" w:cs="Times New Roman"/>
                <w:color w:val="auto"/>
                <w:sz w:val="24"/>
              </w:rPr>
              <w:t>10</w:t>
            </w:r>
            <w:r>
              <w:rPr>
                <w:rFonts w:ascii="Times New Roman" w:cs="Times New Roman"/>
                <w:color w:val="auto"/>
                <w:sz w:val="24"/>
              </w:rPr>
              <w:t>月</w:t>
            </w:r>
            <w:r>
              <w:rPr>
                <w:rFonts w:ascii="Times New Roman" w:hAnsi="Times New Roman" w:cs="Times New Roman"/>
                <w:color w:val="auto"/>
                <w:sz w:val="24"/>
              </w:rPr>
              <w:t>1</w:t>
            </w:r>
            <w:r>
              <w:rPr>
                <w:rFonts w:ascii="Times New Roman" w:cs="Times New Roman"/>
                <w:color w:val="auto"/>
                <w:sz w:val="24"/>
              </w:rPr>
              <w:t>日施行；</w:t>
            </w:r>
          </w:p>
          <w:p>
            <w:pPr>
              <w:pStyle w:val="56"/>
              <w:numPr>
                <w:ilvl w:val="0"/>
                <w:numId w:val="1"/>
              </w:numPr>
              <w:spacing w:line="360" w:lineRule="auto"/>
              <w:ind w:left="0" w:firstLine="0"/>
              <w:rPr>
                <w:rFonts w:ascii="Times New Roman" w:hAnsi="Times New Roman" w:cs="Times New Roman"/>
                <w:color w:val="auto"/>
                <w:sz w:val="24"/>
              </w:rPr>
            </w:pPr>
            <w:r>
              <w:rPr>
                <w:rFonts w:ascii="Times New Roman" w:cs="Times New Roman"/>
                <w:color w:val="auto"/>
                <w:sz w:val="24"/>
              </w:rPr>
              <w:t>《建设项目环境保护管理条例》（国务院第</w:t>
            </w:r>
            <w:r>
              <w:rPr>
                <w:rFonts w:ascii="Times New Roman" w:hAnsi="Times New Roman" w:cs="Times New Roman"/>
                <w:color w:val="auto"/>
                <w:sz w:val="24"/>
              </w:rPr>
              <w:t>682</w:t>
            </w:r>
            <w:r>
              <w:rPr>
                <w:rFonts w:ascii="Times New Roman" w:cs="Times New Roman"/>
                <w:color w:val="auto"/>
                <w:sz w:val="24"/>
              </w:rPr>
              <w:t>号令）</w:t>
            </w:r>
            <w:r>
              <w:rPr>
                <w:rFonts w:hint="eastAsia" w:ascii="Times New Roman" w:cs="Times New Roman"/>
                <w:color w:val="auto"/>
                <w:sz w:val="24"/>
              </w:rPr>
              <w:t>1998年11月29日</w:t>
            </w:r>
            <w:r>
              <w:rPr>
                <w:rFonts w:hint="eastAsia" w:ascii="Times New Roman" w:cs="Times New Roman"/>
                <w:color w:val="auto"/>
                <w:sz w:val="24"/>
                <w:lang w:val="en-US"/>
              </w:rPr>
              <w:t>施行</w:t>
            </w:r>
            <w:r>
              <w:rPr>
                <w:rFonts w:ascii="Times New Roman" w:cs="Times New Roman"/>
                <w:color w:val="auto"/>
                <w:sz w:val="24"/>
              </w:rPr>
              <w:t>，</w:t>
            </w:r>
            <w:r>
              <w:rPr>
                <w:rFonts w:ascii="Times New Roman" w:hAnsi="Times New Roman" w:cs="Times New Roman"/>
                <w:color w:val="auto"/>
                <w:sz w:val="24"/>
              </w:rPr>
              <w:t>2017</w:t>
            </w:r>
            <w:r>
              <w:rPr>
                <w:rFonts w:ascii="Times New Roman" w:cs="Times New Roman"/>
                <w:color w:val="auto"/>
                <w:sz w:val="24"/>
              </w:rPr>
              <w:t>年</w:t>
            </w:r>
            <w:r>
              <w:rPr>
                <w:rFonts w:ascii="Times New Roman" w:hAnsi="Times New Roman" w:cs="Times New Roman"/>
                <w:color w:val="auto"/>
                <w:sz w:val="24"/>
              </w:rPr>
              <w:t>7</w:t>
            </w:r>
            <w:r>
              <w:rPr>
                <w:rFonts w:ascii="Times New Roman" w:cs="Times New Roman"/>
                <w:color w:val="auto"/>
                <w:sz w:val="24"/>
              </w:rPr>
              <w:t>月</w:t>
            </w:r>
            <w:r>
              <w:rPr>
                <w:rFonts w:ascii="Times New Roman" w:hAnsi="Times New Roman" w:cs="Times New Roman"/>
                <w:color w:val="auto"/>
                <w:sz w:val="24"/>
              </w:rPr>
              <w:t>16</w:t>
            </w:r>
            <w:r>
              <w:rPr>
                <w:rFonts w:ascii="Times New Roman" w:cs="Times New Roman"/>
                <w:color w:val="auto"/>
                <w:sz w:val="24"/>
              </w:rPr>
              <w:t>日修订；</w:t>
            </w:r>
          </w:p>
          <w:p>
            <w:pPr>
              <w:pStyle w:val="56"/>
              <w:numPr>
                <w:ilvl w:val="0"/>
                <w:numId w:val="1"/>
              </w:numPr>
              <w:spacing w:line="360" w:lineRule="auto"/>
              <w:ind w:left="0" w:firstLine="0"/>
              <w:rPr>
                <w:rFonts w:ascii="Times New Roman" w:hAnsi="Times New Roman" w:cs="Times New Roman"/>
                <w:color w:val="auto"/>
                <w:sz w:val="24"/>
              </w:rPr>
            </w:pPr>
            <w:r>
              <w:rPr>
                <w:rFonts w:ascii="Times New Roman" w:cs="Times New Roman"/>
                <w:color w:val="auto"/>
                <w:sz w:val="24"/>
              </w:rPr>
              <w:t>《放射性同位素与射线装置安全和防护条例》</w:t>
            </w:r>
            <w:r>
              <w:rPr>
                <w:rFonts w:hint="eastAsia" w:ascii="Times New Roman" w:cs="Times New Roman"/>
                <w:color w:val="auto"/>
                <w:sz w:val="24"/>
              </w:rPr>
              <w:t>2005年12月1日起施行</w:t>
            </w:r>
            <w:r>
              <w:rPr>
                <w:rFonts w:ascii="Times New Roman" w:cs="Times New Roman"/>
                <w:color w:val="auto"/>
                <w:sz w:val="24"/>
              </w:rPr>
              <w:t>，</w:t>
            </w:r>
            <w:r>
              <w:rPr>
                <w:rFonts w:hint="eastAsia" w:ascii="Times New Roman" w:cs="Times New Roman"/>
                <w:color w:val="auto"/>
                <w:sz w:val="24"/>
                <w:lang w:val="en-US"/>
              </w:rPr>
              <w:t>2019年</w:t>
            </w:r>
            <w:r>
              <w:rPr>
                <w:rFonts w:hint="eastAsia" w:ascii="Times New Roman" w:cs="Times New Roman"/>
                <w:color w:val="auto"/>
                <w:sz w:val="24"/>
              </w:rPr>
              <w:t>3月18日国务院709号令</w:t>
            </w:r>
            <w:r>
              <w:rPr>
                <w:rFonts w:ascii="Times New Roman" w:cs="Times New Roman"/>
                <w:color w:val="auto"/>
                <w:sz w:val="24"/>
              </w:rPr>
              <w:t>修订；</w:t>
            </w:r>
          </w:p>
          <w:p>
            <w:pPr>
              <w:pStyle w:val="56"/>
              <w:numPr>
                <w:ilvl w:val="0"/>
                <w:numId w:val="1"/>
              </w:numPr>
              <w:spacing w:line="360" w:lineRule="auto"/>
              <w:ind w:left="0" w:firstLine="0"/>
              <w:rPr>
                <w:rFonts w:ascii="Times New Roman" w:hAnsi="Times New Roman" w:cs="Times New Roman"/>
                <w:color w:val="auto"/>
                <w:sz w:val="24"/>
              </w:rPr>
            </w:pPr>
            <w:r>
              <w:rPr>
                <w:rFonts w:ascii="Times New Roman" w:cs="Times New Roman"/>
                <w:color w:val="auto"/>
                <w:sz w:val="24"/>
                <w:lang w:val="en-US"/>
              </w:rPr>
              <w:t>《建设项目环境影响评价分类管理名录</w:t>
            </w:r>
            <w:r>
              <w:rPr>
                <w:rFonts w:hint="eastAsia" w:ascii="Times New Roman" w:cs="Times New Roman"/>
                <w:color w:val="auto"/>
                <w:sz w:val="24"/>
                <w:lang w:val="en-US"/>
              </w:rPr>
              <w:t>（2021年版）</w:t>
            </w:r>
            <w:r>
              <w:rPr>
                <w:rFonts w:ascii="Times New Roman" w:cs="Times New Roman"/>
                <w:color w:val="auto"/>
                <w:sz w:val="24"/>
                <w:lang w:val="en-US"/>
              </w:rPr>
              <w:t>》</w:t>
            </w:r>
            <w:r>
              <w:rPr>
                <w:rFonts w:hint="eastAsia" w:ascii="Times New Roman" w:cs="Times New Roman"/>
                <w:color w:val="auto"/>
                <w:sz w:val="24"/>
                <w:lang w:val="en-US"/>
              </w:rPr>
              <w:t>（生态环境部令第16号，2020年11月30日发布）</w:t>
            </w:r>
            <w:r>
              <w:rPr>
                <w:rFonts w:ascii="Times New Roman" w:cs="Times New Roman"/>
                <w:color w:val="auto"/>
                <w:sz w:val="24"/>
              </w:rPr>
              <w:t>；</w:t>
            </w:r>
          </w:p>
          <w:p>
            <w:pPr>
              <w:pStyle w:val="56"/>
              <w:numPr>
                <w:ilvl w:val="0"/>
                <w:numId w:val="1"/>
              </w:numPr>
              <w:spacing w:line="360" w:lineRule="auto"/>
              <w:ind w:left="0" w:firstLine="0"/>
              <w:rPr>
                <w:rFonts w:ascii="Times New Roman" w:hAnsi="Times New Roman" w:cs="Times New Roman"/>
                <w:color w:val="auto"/>
                <w:sz w:val="24"/>
              </w:rPr>
            </w:pPr>
            <w:r>
              <w:rPr>
                <w:rFonts w:ascii="Times New Roman" w:cs="Times New Roman"/>
                <w:color w:val="auto"/>
                <w:sz w:val="24"/>
              </w:rPr>
              <w:t>《产业结构调整指导目录》（</w:t>
            </w:r>
            <w:r>
              <w:rPr>
                <w:rFonts w:ascii="Times New Roman" w:hAnsi="Times New Roman" w:cs="Times New Roman"/>
                <w:color w:val="auto"/>
                <w:sz w:val="24"/>
              </w:rPr>
              <w:t>201</w:t>
            </w:r>
            <w:r>
              <w:rPr>
                <w:rFonts w:hint="eastAsia" w:ascii="Times New Roman" w:hAnsi="Times New Roman" w:cs="Times New Roman"/>
                <w:color w:val="auto"/>
                <w:sz w:val="24"/>
              </w:rPr>
              <w:t>9</w:t>
            </w:r>
            <w:r>
              <w:rPr>
                <w:rFonts w:ascii="Times New Roman" w:cs="Times New Roman"/>
                <w:color w:val="auto"/>
                <w:sz w:val="24"/>
              </w:rPr>
              <w:t>年本）；</w:t>
            </w:r>
          </w:p>
          <w:p>
            <w:pPr>
              <w:pStyle w:val="56"/>
              <w:numPr>
                <w:ilvl w:val="0"/>
                <w:numId w:val="1"/>
              </w:numPr>
              <w:spacing w:line="360" w:lineRule="auto"/>
              <w:ind w:left="0" w:firstLine="0"/>
              <w:rPr>
                <w:rFonts w:ascii="Times New Roman" w:hAnsi="Times New Roman" w:cs="Times New Roman"/>
                <w:color w:val="auto"/>
                <w:sz w:val="24"/>
              </w:rPr>
            </w:pPr>
            <w:r>
              <w:rPr>
                <w:rFonts w:ascii="Times New Roman" w:cs="Times New Roman"/>
                <w:color w:val="auto"/>
                <w:sz w:val="24"/>
              </w:rPr>
              <w:t>《放射性同位素与射线装置安全和防护管理办法》（环境保护部令第</w:t>
            </w:r>
            <w:r>
              <w:rPr>
                <w:rFonts w:ascii="Times New Roman" w:hAnsi="Times New Roman" w:cs="Times New Roman"/>
                <w:color w:val="auto"/>
                <w:sz w:val="24"/>
              </w:rPr>
              <w:t>18</w:t>
            </w:r>
            <w:r>
              <w:rPr>
                <w:rFonts w:ascii="Times New Roman" w:cs="Times New Roman"/>
                <w:color w:val="auto"/>
                <w:sz w:val="24"/>
              </w:rPr>
              <w:t>号）</w:t>
            </w:r>
            <w:r>
              <w:rPr>
                <w:rFonts w:hint="eastAsia" w:ascii="Times New Roman" w:cs="Times New Roman"/>
                <w:color w:val="auto"/>
                <w:sz w:val="24"/>
                <w:lang w:val="en-US"/>
              </w:rPr>
              <w:t>2019年3月2日修订</w:t>
            </w:r>
            <w:r>
              <w:rPr>
                <w:rFonts w:ascii="Times New Roman" w:cs="Times New Roman"/>
                <w:color w:val="auto"/>
                <w:sz w:val="24"/>
              </w:rPr>
              <w:t>；</w:t>
            </w:r>
          </w:p>
          <w:p>
            <w:pPr>
              <w:pStyle w:val="56"/>
              <w:numPr>
                <w:ilvl w:val="0"/>
                <w:numId w:val="1"/>
              </w:numPr>
              <w:spacing w:line="360" w:lineRule="auto"/>
              <w:ind w:left="0" w:firstLine="0"/>
              <w:rPr>
                <w:rFonts w:ascii="Times New Roman" w:hAnsi="Times New Roman" w:cs="Times New Roman"/>
                <w:color w:val="auto"/>
                <w:sz w:val="24"/>
              </w:rPr>
            </w:pPr>
            <w:r>
              <w:rPr>
                <w:rFonts w:ascii="Times New Roman" w:cs="Times New Roman"/>
                <w:color w:val="auto"/>
                <w:sz w:val="24"/>
              </w:rPr>
              <w:t>《关于发布</w:t>
            </w:r>
            <w:r>
              <w:rPr>
                <w:rFonts w:ascii="Times New Roman" w:hAnsi="Times New Roman" w:cs="Times New Roman"/>
                <w:color w:val="auto"/>
                <w:sz w:val="24"/>
              </w:rPr>
              <w:t>&lt;</w:t>
            </w:r>
            <w:r>
              <w:rPr>
                <w:rFonts w:ascii="Times New Roman" w:cs="Times New Roman"/>
                <w:color w:val="auto"/>
                <w:sz w:val="24"/>
              </w:rPr>
              <w:t>射线装置分类</w:t>
            </w:r>
            <w:r>
              <w:rPr>
                <w:rFonts w:ascii="Times New Roman" w:hAnsi="Times New Roman" w:cs="Times New Roman"/>
                <w:color w:val="auto"/>
                <w:sz w:val="24"/>
              </w:rPr>
              <w:t>&gt;</w:t>
            </w:r>
            <w:r>
              <w:rPr>
                <w:rFonts w:ascii="Times New Roman" w:cs="Times New Roman"/>
                <w:color w:val="auto"/>
                <w:sz w:val="24"/>
              </w:rPr>
              <w:t>的公告》（环境保护部和国家卫生和计划生育委员会公告</w:t>
            </w:r>
            <w:r>
              <w:rPr>
                <w:rFonts w:ascii="Times New Roman" w:hAnsi="Times New Roman" w:cs="Times New Roman"/>
                <w:color w:val="auto"/>
                <w:sz w:val="24"/>
              </w:rPr>
              <w:t>2017</w:t>
            </w:r>
            <w:r>
              <w:rPr>
                <w:rFonts w:ascii="Times New Roman" w:cs="Times New Roman"/>
                <w:color w:val="auto"/>
                <w:sz w:val="24"/>
              </w:rPr>
              <w:t>年第</w:t>
            </w:r>
            <w:r>
              <w:rPr>
                <w:rFonts w:ascii="Times New Roman" w:hAnsi="Times New Roman" w:cs="Times New Roman"/>
                <w:color w:val="auto"/>
                <w:sz w:val="24"/>
              </w:rPr>
              <w:t>66</w:t>
            </w:r>
            <w:r>
              <w:rPr>
                <w:rFonts w:ascii="Times New Roman" w:cs="Times New Roman"/>
                <w:color w:val="auto"/>
                <w:sz w:val="24"/>
              </w:rPr>
              <w:t>号），</w:t>
            </w:r>
            <w:r>
              <w:rPr>
                <w:rFonts w:ascii="Times New Roman" w:hAnsi="Times New Roman" w:cs="Times New Roman"/>
                <w:color w:val="auto"/>
                <w:sz w:val="24"/>
              </w:rPr>
              <w:t>2017</w:t>
            </w:r>
            <w:r>
              <w:rPr>
                <w:rFonts w:ascii="Times New Roman" w:cs="Times New Roman"/>
                <w:color w:val="auto"/>
                <w:sz w:val="24"/>
              </w:rPr>
              <w:t>年</w:t>
            </w:r>
            <w:r>
              <w:rPr>
                <w:rFonts w:ascii="Times New Roman" w:hAnsi="Times New Roman" w:cs="Times New Roman"/>
                <w:color w:val="auto"/>
                <w:sz w:val="24"/>
              </w:rPr>
              <w:t>12</w:t>
            </w:r>
            <w:r>
              <w:rPr>
                <w:rFonts w:ascii="Times New Roman" w:cs="Times New Roman"/>
                <w:color w:val="auto"/>
                <w:sz w:val="24"/>
              </w:rPr>
              <w:t>月</w:t>
            </w:r>
            <w:r>
              <w:rPr>
                <w:rFonts w:ascii="Times New Roman" w:hAnsi="Times New Roman" w:cs="Times New Roman"/>
                <w:color w:val="auto"/>
                <w:sz w:val="24"/>
              </w:rPr>
              <w:t>5</w:t>
            </w:r>
            <w:r>
              <w:rPr>
                <w:rFonts w:ascii="Times New Roman" w:cs="Times New Roman"/>
                <w:color w:val="auto"/>
                <w:sz w:val="24"/>
              </w:rPr>
              <w:t>日施行；</w:t>
            </w:r>
          </w:p>
          <w:p>
            <w:pPr>
              <w:pStyle w:val="56"/>
              <w:numPr>
                <w:ilvl w:val="0"/>
                <w:numId w:val="1"/>
              </w:numPr>
              <w:spacing w:line="360" w:lineRule="auto"/>
              <w:ind w:left="0" w:firstLine="0"/>
              <w:rPr>
                <w:rFonts w:ascii="Times New Roman" w:hAnsi="Times New Roman" w:cs="Times New Roman"/>
                <w:color w:val="auto"/>
                <w:sz w:val="24"/>
                <w:u w:val="none"/>
              </w:rPr>
            </w:pPr>
            <w:r>
              <w:rPr>
                <w:rFonts w:ascii="Times New Roman" w:cs="Times New Roman"/>
                <w:color w:val="auto"/>
                <w:sz w:val="24"/>
                <w:u w:val="none"/>
              </w:rPr>
              <w:t>《放射性同位素与射线装置安全许可管理办法》（</w:t>
            </w:r>
            <w:r>
              <w:rPr>
                <w:rFonts w:hint="eastAsia" w:ascii="Times New Roman" w:cs="Times New Roman"/>
                <w:color w:val="auto"/>
                <w:sz w:val="24"/>
                <w:u w:val="none"/>
                <w:lang w:val="en-US" w:eastAsia="zh-CN"/>
              </w:rPr>
              <w:t>原</w:t>
            </w:r>
            <w:r>
              <w:rPr>
                <w:rFonts w:ascii="Times New Roman" w:cs="Times New Roman"/>
                <w:color w:val="auto"/>
                <w:sz w:val="24"/>
                <w:u w:val="none"/>
              </w:rPr>
              <w:t>国家环境保护总局令第31号），</w:t>
            </w:r>
            <w:r>
              <w:rPr>
                <w:color w:val="auto"/>
                <w:sz w:val="24"/>
                <w:szCs w:val="24"/>
                <w:u w:val="none"/>
              </w:rPr>
              <w:t>20</w:t>
            </w:r>
            <w:r>
              <w:rPr>
                <w:rFonts w:hint="eastAsia"/>
                <w:color w:val="auto"/>
                <w:sz w:val="24"/>
                <w:szCs w:val="24"/>
                <w:u w:val="none"/>
                <w:lang w:val="en-US" w:eastAsia="zh-CN"/>
              </w:rPr>
              <w:t>21</w:t>
            </w:r>
            <w:r>
              <w:rPr>
                <w:color w:val="auto"/>
                <w:sz w:val="24"/>
                <w:szCs w:val="24"/>
                <w:u w:val="none"/>
              </w:rPr>
              <w:t>年</w:t>
            </w:r>
            <w:r>
              <w:rPr>
                <w:rFonts w:hint="eastAsia"/>
                <w:color w:val="auto"/>
                <w:sz w:val="24"/>
                <w:szCs w:val="24"/>
                <w:u w:val="none"/>
                <w:lang w:val="en-US" w:eastAsia="zh-CN"/>
              </w:rPr>
              <w:t>1</w:t>
            </w:r>
            <w:r>
              <w:rPr>
                <w:color w:val="auto"/>
                <w:sz w:val="24"/>
                <w:szCs w:val="24"/>
                <w:u w:val="none"/>
              </w:rPr>
              <w:t>月</w:t>
            </w:r>
            <w:r>
              <w:rPr>
                <w:rFonts w:hint="eastAsia"/>
                <w:color w:val="auto"/>
                <w:sz w:val="24"/>
                <w:szCs w:val="24"/>
                <w:u w:val="none"/>
                <w:lang w:val="en-US" w:eastAsia="zh-CN"/>
              </w:rPr>
              <w:t>4</w:t>
            </w:r>
            <w:r>
              <w:rPr>
                <w:color w:val="auto"/>
                <w:sz w:val="24"/>
                <w:szCs w:val="24"/>
                <w:u w:val="none"/>
              </w:rPr>
              <w:t>日</w:t>
            </w:r>
            <w:r>
              <w:rPr>
                <w:rFonts w:hint="eastAsia"/>
                <w:color w:val="auto"/>
                <w:sz w:val="24"/>
                <w:szCs w:val="24"/>
                <w:u w:val="none"/>
                <w:lang w:val="en-US" w:eastAsia="zh-CN"/>
              </w:rPr>
              <w:t>的修订</w:t>
            </w:r>
            <w:r>
              <w:rPr>
                <w:rFonts w:ascii="Times New Roman" w:cs="Times New Roman"/>
                <w:color w:val="auto"/>
                <w:sz w:val="24"/>
                <w:u w:val="none"/>
              </w:rPr>
              <w:t>；</w:t>
            </w:r>
          </w:p>
          <w:p>
            <w:pPr>
              <w:pStyle w:val="56"/>
              <w:numPr>
                <w:ilvl w:val="0"/>
                <w:numId w:val="1"/>
              </w:numPr>
              <w:spacing w:line="360" w:lineRule="auto"/>
              <w:ind w:left="0" w:firstLine="0"/>
              <w:rPr>
                <w:rFonts w:ascii="Times New Roman" w:hAnsi="Times New Roman" w:cs="Times New Roman"/>
                <w:color w:val="auto"/>
                <w:sz w:val="24"/>
              </w:rPr>
            </w:pPr>
            <w:r>
              <w:rPr>
                <w:rFonts w:ascii="Times New Roman" w:cs="Times New Roman"/>
                <w:color w:val="auto"/>
                <w:sz w:val="24"/>
              </w:rPr>
              <w:t>《放射工作人员职业健康管理办法》（中华人民共和国卫生部令第</w:t>
            </w:r>
            <w:r>
              <w:rPr>
                <w:rFonts w:ascii="Times New Roman" w:hAnsi="Times New Roman" w:cs="Times New Roman"/>
                <w:color w:val="auto"/>
                <w:sz w:val="24"/>
              </w:rPr>
              <w:t>55</w:t>
            </w:r>
            <w:r>
              <w:rPr>
                <w:rFonts w:ascii="Times New Roman" w:cs="Times New Roman"/>
                <w:color w:val="auto"/>
                <w:sz w:val="24"/>
              </w:rPr>
              <w:t>号），</w:t>
            </w:r>
            <w:r>
              <w:rPr>
                <w:rFonts w:ascii="Times New Roman" w:hAnsi="Times New Roman" w:cs="Times New Roman"/>
                <w:color w:val="auto"/>
                <w:sz w:val="24"/>
              </w:rPr>
              <w:t>2007</w:t>
            </w:r>
            <w:r>
              <w:rPr>
                <w:rFonts w:ascii="Times New Roman" w:cs="Times New Roman"/>
                <w:color w:val="auto"/>
                <w:sz w:val="24"/>
              </w:rPr>
              <w:t>年</w:t>
            </w:r>
            <w:r>
              <w:rPr>
                <w:rFonts w:ascii="Times New Roman" w:hAnsi="Times New Roman" w:cs="Times New Roman"/>
                <w:color w:val="auto"/>
                <w:sz w:val="24"/>
              </w:rPr>
              <w:t>11</w:t>
            </w:r>
            <w:r>
              <w:rPr>
                <w:rFonts w:ascii="Times New Roman" w:cs="Times New Roman"/>
                <w:color w:val="auto"/>
                <w:sz w:val="24"/>
              </w:rPr>
              <w:t>月</w:t>
            </w:r>
            <w:r>
              <w:rPr>
                <w:rFonts w:ascii="Times New Roman" w:hAnsi="Times New Roman" w:cs="Times New Roman"/>
                <w:color w:val="auto"/>
                <w:sz w:val="24"/>
              </w:rPr>
              <w:t>1</w:t>
            </w:r>
            <w:r>
              <w:rPr>
                <w:rFonts w:ascii="Times New Roman" w:cs="Times New Roman"/>
                <w:color w:val="auto"/>
                <w:sz w:val="24"/>
              </w:rPr>
              <w:t>日施行；</w:t>
            </w:r>
          </w:p>
          <w:p>
            <w:pPr>
              <w:pStyle w:val="56"/>
              <w:numPr>
                <w:ilvl w:val="0"/>
                <w:numId w:val="1"/>
              </w:numPr>
              <w:spacing w:line="360" w:lineRule="auto"/>
              <w:ind w:left="0" w:firstLine="0"/>
              <w:rPr>
                <w:color w:val="auto"/>
              </w:rPr>
            </w:pPr>
            <w:r>
              <w:rPr>
                <w:rFonts w:ascii="Times New Roman" w:cs="Times New Roman"/>
                <w:color w:val="auto"/>
                <w:sz w:val="24"/>
              </w:rPr>
              <w:t>《关于建立放射性同位素与射线装置辐射事故分级处理和报告制度的通知》（环保总局公告</w:t>
            </w:r>
            <w:r>
              <w:rPr>
                <w:rFonts w:ascii="Times New Roman" w:hAnsi="Times New Roman" w:cs="Times New Roman"/>
                <w:color w:val="auto"/>
                <w:sz w:val="24"/>
              </w:rPr>
              <w:t>[2006]</w:t>
            </w:r>
            <w:r>
              <w:rPr>
                <w:rFonts w:ascii="Times New Roman" w:cs="Times New Roman"/>
                <w:color w:val="auto"/>
                <w:sz w:val="24"/>
              </w:rPr>
              <w:t>第</w:t>
            </w:r>
            <w:r>
              <w:rPr>
                <w:rFonts w:ascii="Times New Roman" w:hAnsi="Times New Roman" w:cs="Times New Roman"/>
                <w:color w:val="auto"/>
                <w:sz w:val="24"/>
              </w:rPr>
              <w:t>145</w:t>
            </w:r>
            <w:r>
              <w:rPr>
                <w:rFonts w:ascii="Times New Roman" w:cs="Times New Roman"/>
                <w:color w:val="auto"/>
                <w:sz w:val="24"/>
              </w:rPr>
              <w:t>号，</w:t>
            </w:r>
            <w:r>
              <w:rPr>
                <w:rFonts w:ascii="Times New Roman" w:hAnsi="Times New Roman" w:cs="Times New Roman"/>
                <w:color w:val="auto"/>
                <w:sz w:val="24"/>
              </w:rPr>
              <w:t>2006</w:t>
            </w:r>
            <w:r>
              <w:rPr>
                <w:rFonts w:ascii="Times New Roman" w:cs="Times New Roman"/>
                <w:color w:val="auto"/>
                <w:sz w:val="24"/>
              </w:rPr>
              <w:t>年</w:t>
            </w:r>
            <w:r>
              <w:rPr>
                <w:rFonts w:ascii="Times New Roman" w:hAnsi="Times New Roman" w:cs="Times New Roman"/>
                <w:color w:val="auto"/>
                <w:sz w:val="24"/>
              </w:rPr>
              <w:t>9</w:t>
            </w:r>
            <w:r>
              <w:rPr>
                <w:rFonts w:ascii="Times New Roman" w:cs="Times New Roman"/>
                <w:color w:val="auto"/>
                <w:sz w:val="24"/>
              </w:rPr>
              <w:t>月</w:t>
            </w:r>
            <w:r>
              <w:rPr>
                <w:rFonts w:ascii="Times New Roman" w:hAnsi="Times New Roman" w:cs="Times New Roman"/>
                <w:color w:val="auto"/>
                <w:sz w:val="24"/>
              </w:rPr>
              <w:t>26</w:t>
            </w:r>
            <w:r>
              <w:rPr>
                <w:rFonts w:ascii="Times New Roman" w:cs="Times New Roman"/>
                <w:color w:val="auto"/>
                <w:sz w:val="24"/>
              </w:rPr>
              <w:t>日施行）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noWrap w:val="0"/>
            <w:vAlign w:val="center"/>
          </w:tcPr>
          <w:p>
            <w:pPr>
              <w:pStyle w:val="45"/>
              <w:spacing w:before="156" w:after="156"/>
              <w:jc w:val="center"/>
              <w:rPr>
                <w:color w:val="auto"/>
              </w:rPr>
            </w:pPr>
            <w:r>
              <w:rPr>
                <w:rFonts w:hint="eastAsia"/>
                <w:color w:val="auto"/>
              </w:rPr>
              <w:t>技术</w:t>
            </w:r>
            <w:r>
              <w:rPr>
                <w:color w:val="auto"/>
              </w:rPr>
              <w:t>标准</w:t>
            </w:r>
          </w:p>
        </w:tc>
        <w:tc>
          <w:tcPr>
            <w:tcW w:w="7592" w:type="dxa"/>
            <w:noWrap w:val="0"/>
            <w:vAlign w:val="center"/>
          </w:tcPr>
          <w:p>
            <w:pPr>
              <w:pStyle w:val="56"/>
              <w:numPr>
                <w:ilvl w:val="0"/>
                <w:numId w:val="2"/>
              </w:numPr>
              <w:spacing w:line="360" w:lineRule="auto"/>
              <w:ind w:left="0" w:firstLine="0"/>
              <w:rPr>
                <w:rFonts w:ascii="Times New Roman" w:hAnsi="Times New Roman" w:cs="Times New Roman"/>
                <w:color w:val="auto"/>
                <w:sz w:val="24"/>
              </w:rPr>
            </w:pPr>
            <w:r>
              <w:rPr>
                <w:rFonts w:ascii="Times New Roman" w:cs="Times New Roman"/>
                <w:color w:val="auto"/>
                <w:sz w:val="24"/>
              </w:rPr>
              <w:t>《建设项目环境影响评价技术导则</w:t>
            </w:r>
            <w:r>
              <w:rPr>
                <w:rFonts w:ascii="Times New Roman" w:hAnsi="Times New Roman" w:cs="Times New Roman"/>
                <w:color w:val="auto"/>
                <w:sz w:val="24"/>
              </w:rPr>
              <w:tab/>
            </w:r>
            <w:r>
              <w:rPr>
                <w:rFonts w:ascii="Times New Roman" w:cs="Times New Roman"/>
                <w:color w:val="auto"/>
                <w:sz w:val="24"/>
              </w:rPr>
              <w:t>总纲》（</w:t>
            </w:r>
            <w:r>
              <w:rPr>
                <w:rFonts w:ascii="Times New Roman" w:hAnsi="Times New Roman" w:cs="Times New Roman"/>
                <w:color w:val="auto"/>
                <w:sz w:val="24"/>
              </w:rPr>
              <w:t>HJ2.1-2016</w:t>
            </w:r>
            <w:r>
              <w:rPr>
                <w:rFonts w:ascii="Times New Roman" w:cs="Times New Roman"/>
                <w:color w:val="auto"/>
                <w:sz w:val="24"/>
              </w:rPr>
              <w:t>）；</w:t>
            </w:r>
          </w:p>
          <w:p>
            <w:pPr>
              <w:pStyle w:val="56"/>
              <w:numPr>
                <w:ilvl w:val="0"/>
                <w:numId w:val="2"/>
              </w:numPr>
              <w:spacing w:line="360" w:lineRule="auto"/>
              <w:ind w:left="0" w:firstLine="0"/>
              <w:rPr>
                <w:rFonts w:ascii="Times New Roman" w:hAnsi="Times New Roman" w:cs="Times New Roman"/>
                <w:color w:val="auto"/>
                <w:sz w:val="24"/>
              </w:rPr>
            </w:pPr>
            <w:r>
              <w:rPr>
                <w:rFonts w:ascii="Times New Roman" w:cs="Times New Roman"/>
                <w:color w:val="auto"/>
                <w:sz w:val="24"/>
              </w:rPr>
              <w:t>《辐射环境保护管理导则</w:t>
            </w:r>
            <w:r>
              <w:rPr>
                <w:rFonts w:ascii="Times New Roman" w:hAnsi="Times New Roman" w:cs="Times New Roman"/>
                <w:color w:val="auto"/>
                <w:sz w:val="24"/>
              </w:rPr>
              <w:t>-</w:t>
            </w:r>
            <w:r>
              <w:rPr>
                <w:rFonts w:ascii="Times New Roman" w:cs="Times New Roman"/>
                <w:color w:val="auto"/>
                <w:sz w:val="24"/>
              </w:rPr>
              <w:t>核技术利用项目环境影响评价文件的内容和格式》（</w:t>
            </w:r>
            <w:r>
              <w:rPr>
                <w:rFonts w:ascii="Times New Roman" w:hAnsi="Times New Roman" w:cs="Times New Roman"/>
                <w:color w:val="auto"/>
                <w:sz w:val="24"/>
              </w:rPr>
              <w:t>HJ10.1-2016</w:t>
            </w:r>
            <w:r>
              <w:rPr>
                <w:rFonts w:ascii="Times New Roman" w:cs="Times New Roman"/>
                <w:color w:val="auto"/>
                <w:sz w:val="24"/>
              </w:rPr>
              <w:t>）。</w:t>
            </w:r>
          </w:p>
          <w:p>
            <w:pPr>
              <w:pStyle w:val="56"/>
              <w:numPr>
                <w:ilvl w:val="0"/>
                <w:numId w:val="2"/>
              </w:numPr>
              <w:spacing w:line="360" w:lineRule="auto"/>
              <w:ind w:left="0" w:firstLine="0"/>
              <w:rPr>
                <w:rFonts w:ascii="Times New Roman" w:hAnsi="Times New Roman" w:cs="Times New Roman"/>
                <w:color w:val="auto"/>
                <w:sz w:val="24"/>
              </w:rPr>
            </w:pPr>
            <w:r>
              <w:rPr>
                <w:rFonts w:ascii="Times New Roman" w:cs="Times New Roman"/>
                <w:color w:val="auto"/>
                <w:sz w:val="24"/>
              </w:rPr>
              <w:t>《电离辐射防护与辐射源安全基本标准》（</w:t>
            </w:r>
            <w:r>
              <w:rPr>
                <w:rFonts w:ascii="Times New Roman" w:hAnsi="Times New Roman" w:cs="Times New Roman"/>
                <w:color w:val="auto"/>
                <w:sz w:val="24"/>
              </w:rPr>
              <w:t>GB18871</w:t>
            </w:r>
            <w:r>
              <w:rPr>
                <w:rFonts w:hint="eastAsia" w:ascii="Times New Roman" w:hAnsi="Times New Roman" w:cs="Times New Roman"/>
                <w:color w:val="auto"/>
                <w:sz w:val="24"/>
                <w:lang w:val="en-US" w:eastAsia="zh-CN"/>
              </w:rPr>
              <w:t>-</w:t>
            </w:r>
            <w:r>
              <w:rPr>
                <w:rFonts w:ascii="Times New Roman" w:hAnsi="Times New Roman" w:cs="Times New Roman"/>
                <w:color w:val="auto"/>
                <w:sz w:val="24"/>
              </w:rPr>
              <w:t>2002</w:t>
            </w:r>
            <w:r>
              <w:rPr>
                <w:rFonts w:ascii="Times New Roman" w:cs="Times New Roman"/>
                <w:color w:val="auto"/>
                <w:sz w:val="24"/>
              </w:rPr>
              <w:t>）；</w:t>
            </w:r>
          </w:p>
          <w:p>
            <w:pPr>
              <w:pStyle w:val="56"/>
              <w:numPr>
                <w:ilvl w:val="0"/>
                <w:numId w:val="2"/>
              </w:numPr>
              <w:spacing w:line="360" w:lineRule="auto"/>
              <w:ind w:left="0" w:firstLine="0"/>
              <w:rPr>
                <w:rFonts w:ascii="Times New Roman" w:hAnsi="Times New Roman" w:cs="Times New Roman"/>
                <w:color w:val="auto"/>
                <w:sz w:val="24"/>
              </w:rPr>
            </w:pPr>
            <w:r>
              <w:rPr>
                <w:rFonts w:ascii="Times New Roman" w:cs="Times New Roman"/>
                <w:color w:val="auto"/>
                <w:sz w:val="24"/>
              </w:rPr>
              <w:t>《工业</w:t>
            </w:r>
            <w:r>
              <w:rPr>
                <w:rFonts w:ascii="Times New Roman" w:hAnsi="Times New Roman" w:cs="Times New Roman"/>
                <w:color w:val="auto"/>
                <w:sz w:val="24"/>
              </w:rPr>
              <w:t>X</w:t>
            </w:r>
            <w:r>
              <w:rPr>
                <w:rFonts w:ascii="Times New Roman" w:cs="Times New Roman"/>
                <w:color w:val="auto"/>
                <w:sz w:val="24"/>
              </w:rPr>
              <w:t>射线探伤放射防护要求》（</w:t>
            </w:r>
            <w:r>
              <w:rPr>
                <w:rFonts w:ascii="Times New Roman" w:hAnsi="Times New Roman" w:cs="Times New Roman"/>
                <w:color w:val="auto"/>
                <w:sz w:val="24"/>
              </w:rPr>
              <w:t>GBZ117-2015</w:t>
            </w:r>
            <w:r>
              <w:rPr>
                <w:rFonts w:ascii="Times New Roman" w:cs="Times New Roman"/>
                <w:color w:val="auto"/>
                <w:sz w:val="24"/>
              </w:rPr>
              <w:t>）；</w:t>
            </w:r>
          </w:p>
          <w:p>
            <w:pPr>
              <w:pStyle w:val="56"/>
              <w:numPr>
                <w:ilvl w:val="0"/>
                <w:numId w:val="2"/>
              </w:numPr>
              <w:spacing w:line="360" w:lineRule="auto"/>
              <w:ind w:left="0" w:firstLine="0"/>
              <w:rPr>
                <w:rFonts w:ascii="Times New Roman" w:hAnsi="Times New Roman" w:cs="Times New Roman"/>
                <w:color w:val="auto"/>
                <w:sz w:val="24"/>
              </w:rPr>
            </w:pPr>
            <w:r>
              <w:rPr>
                <w:rFonts w:hint="eastAsia" w:ascii="Times New Roman" w:cs="Times New Roman"/>
                <w:color w:val="auto"/>
                <w:sz w:val="24"/>
              </w:rPr>
              <w:t>《工业X射线探伤室辐射屏蔽规范》（GBZ/T 250-2014）国卫通[2017]23号</w:t>
            </w:r>
            <w:r>
              <w:rPr>
                <w:rFonts w:hint="eastAsia" w:ascii="Times New Roman" w:cs="Times New Roman"/>
                <w:color w:val="auto"/>
                <w:sz w:val="24"/>
                <w:lang w:val="en-US" w:eastAsia="zh-CN"/>
              </w:rPr>
              <w:t>修改</w:t>
            </w:r>
            <w:r>
              <w:rPr>
                <w:rFonts w:ascii="Times New Roman" w:cs="Times New Roman"/>
                <w:color w:val="auto"/>
                <w:sz w:val="24"/>
              </w:rPr>
              <w:t>；</w:t>
            </w:r>
          </w:p>
          <w:p>
            <w:pPr>
              <w:pStyle w:val="56"/>
              <w:numPr>
                <w:ilvl w:val="0"/>
                <w:numId w:val="2"/>
              </w:numPr>
              <w:spacing w:line="360" w:lineRule="auto"/>
              <w:ind w:left="0" w:firstLine="0"/>
              <w:rPr>
                <w:rFonts w:ascii="Times New Roman" w:hAnsi="Times New Roman" w:cs="Times New Roman"/>
                <w:color w:val="auto"/>
                <w:sz w:val="24"/>
              </w:rPr>
            </w:pPr>
            <w:r>
              <w:rPr>
                <w:rFonts w:ascii="Times New Roman" w:cs="Times New Roman"/>
                <w:color w:val="auto"/>
                <w:sz w:val="24"/>
              </w:rPr>
              <w:t>《职业性外照射个人监测规范》（</w:t>
            </w:r>
            <w:r>
              <w:rPr>
                <w:rFonts w:ascii="Times New Roman" w:hAnsi="Times New Roman" w:cs="Times New Roman"/>
                <w:color w:val="auto"/>
                <w:sz w:val="24"/>
              </w:rPr>
              <w:t>GBZ128-201</w:t>
            </w:r>
            <w:r>
              <w:rPr>
                <w:rFonts w:hint="eastAsia" w:ascii="Times New Roman" w:hAnsi="Times New Roman" w:cs="Times New Roman"/>
                <w:color w:val="auto"/>
                <w:sz w:val="24"/>
              </w:rPr>
              <w:t>9</w:t>
            </w:r>
            <w:r>
              <w:rPr>
                <w:rFonts w:ascii="Times New Roman" w:cs="Times New Roman"/>
                <w:color w:val="auto"/>
                <w:sz w:val="24"/>
              </w:rPr>
              <w:t>）；</w:t>
            </w:r>
          </w:p>
          <w:p>
            <w:pPr>
              <w:pStyle w:val="56"/>
              <w:numPr>
                <w:ilvl w:val="0"/>
                <w:numId w:val="2"/>
              </w:numPr>
              <w:spacing w:line="360" w:lineRule="auto"/>
              <w:ind w:left="0" w:firstLine="0"/>
              <w:rPr>
                <w:rFonts w:ascii="Times New Roman" w:hAnsi="Times New Roman" w:cs="Times New Roman"/>
                <w:color w:val="auto"/>
                <w:sz w:val="24"/>
                <w:u w:val="none"/>
              </w:rPr>
            </w:pPr>
            <w:r>
              <w:rPr>
                <w:rFonts w:ascii="Times New Roman" w:cs="Times New Roman"/>
                <w:color w:val="auto"/>
                <w:sz w:val="24"/>
                <w:u w:val="none"/>
              </w:rPr>
              <w:t>《放射工作人员健康要求</w:t>
            </w:r>
            <w:r>
              <w:rPr>
                <w:rFonts w:hint="eastAsia" w:ascii="Times New Roman" w:cs="Times New Roman"/>
                <w:color w:val="auto"/>
                <w:sz w:val="24"/>
                <w:u w:val="none"/>
                <w:lang w:val="en-US" w:eastAsia="zh-CN"/>
              </w:rPr>
              <w:t>及监护规范</w:t>
            </w:r>
            <w:r>
              <w:rPr>
                <w:rFonts w:ascii="Times New Roman" w:cs="Times New Roman"/>
                <w:color w:val="auto"/>
                <w:sz w:val="24"/>
                <w:u w:val="none"/>
              </w:rPr>
              <w:t>》（GBZ98-2020）；</w:t>
            </w:r>
          </w:p>
          <w:p>
            <w:pPr>
              <w:pStyle w:val="56"/>
              <w:numPr>
                <w:ilvl w:val="0"/>
                <w:numId w:val="2"/>
              </w:numPr>
              <w:spacing w:line="360" w:lineRule="auto"/>
              <w:ind w:left="0" w:firstLine="0"/>
              <w:rPr>
                <w:rFonts w:ascii="Times New Roman" w:hAnsi="Times New Roman" w:cs="Times New Roman"/>
                <w:color w:val="auto"/>
                <w:sz w:val="24"/>
              </w:rPr>
            </w:pPr>
            <w:r>
              <w:rPr>
                <w:rFonts w:ascii="Times New Roman" w:cs="Times New Roman"/>
                <w:color w:val="auto"/>
                <w:sz w:val="24"/>
              </w:rPr>
              <w:t>《工作场所有害因素职业接触限值第一步部分化学因素》（</w:t>
            </w:r>
            <w:r>
              <w:rPr>
                <w:rFonts w:ascii="Times New Roman" w:hAnsi="Times New Roman" w:cs="Times New Roman"/>
                <w:color w:val="auto"/>
                <w:sz w:val="24"/>
              </w:rPr>
              <w:t>GBZ2.1-20</w:t>
            </w:r>
            <w:r>
              <w:rPr>
                <w:rFonts w:hint="eastAsia" w:ascii="Times New Roman" w:hAnsi="Times New Roman" w:cs="Times New Roman"/>
                <w:color w:val="auto"/>
                <w:sz w:val="24"/>
              </w:rPr>
              <w:t>19</w:t>
            </w:r>
            <w:r>
              <w:rPr>
                <w:rFonts w:ascii="Times New Roman" w:cs="Times New Roman"/>
                <w:color w:val="auto"/>
                <w:sz w:val="24"/>
              </w:rPr>
              <w:t>）；</w:t>
            </w:r>
          </w:p>
          <w:p>
            <w:pPr>
              <w:pStyle w:val="56"/>
              <w:numPr>
                <w:ilvl w:val="0"/>
                <w:numId w:val="2"/>
              </w:numPr>
              <w:spacing w:line="360" w:lineRule="auto"/>
              <w:ind w:left="0" w:firstLine="0"/>
              <w:rPr>
                <w:color w:val="auto"/>
              </w:rPr>
            </w:pPr>
            <w:r>
              <w:rPr>
                <w:rFonts w:hint="eastAsia" w:ascii="Times New Roman" w:cs="Times New Roman"/>
                <w:color w:val="auto"/>
                <w:sz w:val="24"/>
              </w:rPr>
              <w:t>《</w:t>
            </w:r>
            <w:r>
              <w:rPr>
                <w:color w:val="auto"/>
              </w:rPr>
              <w:fldChar w:fldCharType="begin"/>
            </w:r>
            <w:r>
              <w:rPr>
                <w:color w:val="auto"/>
              </w:rPr>
              <w:instrText xml:space="preserve"> HYPERLINK "https://www.mee.gov.cn/ywgz/fgbz/bz/bzwb/jcffbz/202104/W020210429487541004219.pdf" </w:instrText>
            </w:r>
            <w:r>
              <w:rPr>
                <w:color w:val="auto"/>
              </w:rPr>
              <w:fldChar w:fldCharType="separate"/>
            </w:r>
            <w:r>
              <w:rPr>
                <w:rFonts w:hint="eastAsia" w:ascii="Times New Roman" w:cs="Times New Roman"/>
                <w:color w:val="auto"/>
                <w:sz w:val="24"/>
              </w:rPr>
              <w:t>环境γ辐射剂量率测量技术规范》(HJ 1157</w:t>
            </w:r>
            <w:r>
              <w:rPr>
                <w:rFonts w:ascii="Times New Roman" w:hAnsi="Times New Roman" w:cs="Times New Roman"/>
                <w:color w:val="auto"/>
                <w:sz w:val="24"/>
              </w:rPr>
              <w:t>-</w:t>
            </w:r>
            <w:r>
              <w:rPr>
                <w:rFonts w:hint="eastAsia" w:ascii="Times New Roman" w:cs="Times New Roman"/>
                <w:color w:val="auto"/>
                <w:sz w:val="24"/>
              </w:rPr>
              <w:t>2021)</w:t>
            </w:r>
            <w:r>
              <w:rPr>
                <w:rFonts w:hint="eastAsia" w:ascii="Times New Roman" w:cs="Times New Roman"/>
                <w:color w:val="auto"/>
                <w:sz w:val="24"/>
              </w:rPr>
              <w:fldChar w:fldCharType="end"/>
            </w:r>
            <w:r>
              <w:rPr>
                <w:rFonts w:ascii="Times New Roman" w:cs="Times New Roman"/>
                <w:color w:val="auto"/>
                <w:sz w:val="24"/>
              </w:rPr>
              <w:t>；</w:t>
            </w:r>
          </w:p>
          <w:p>
            <w:pPr>
              <w:pStyle w:val="56"/>
              <w:numPr>
                <w:ilvl w:val="0"/>
                <w:numId w:val="2"/>
              </w:numPr>
              <w:spacing w:line="360" w:lineRule="auto"/>
              <w:ind w:left="0" w:firstLine="0"/>
              <w:rPr>
                <w:rFonts w:ascii="Times New Roman" w:cs="Times New Roman"/>
                <w:color w:val="auto"/>
                <w:sz w:val="24"/>
              </w:rPr>
            </w:pPr>
            <w:r>
              <w:rPr>
                <w:rFonts w:ascii="Times New Roman" w:cs="Times New Roman"/>
                <w:color w:val="auto"/>
                <w:sz w:val="24"/>
              </w:rPr>
              <w:t>《辐射环境监测技术规范》（HJ61-20</w:t>
            </w:r>
            <w:r>
              <w:rPr>
                <w:rFonts w:hint="eastAsia" w:ascii="Times New Roman" w:cs="Times New Roman"/>
                <w:color w:val="auto"/>
                <w:sz w:val="24"/>
                <w:lang w:val="en-US"/>
              </w:rPr>
              <w:t>21</w:t>
            </w:r>
            <w:r>
              <w:rPr>
                <w:rFonts w:ascii="Times New Roman" w:cs="Times New Roman"/>
                <w:color w:val="auto"/>
                <w:sz w:val="24"/>
              </w:rPr>
              <w:t>）</w:t>
            </w:r>
          </w:p>
          <w:p>
            <w:pPr>
              <w:pStyle w:val="56"/>
              <w:numPr>
                <w:ilvl w:val="0"/>
                <w:numId w:val="2"/>
              </w:numPr>
              <w:spacing w:line="360" w:lineRule="auto"/>
              <w:ind w:left="0" w:firstLine="0"/>
              <w:rPr>
                <w:rFonts w:hint="eastAsia" w:ascii="Times New Roman" w:cs="Times New Roman"/>
                <w:color w:val="auto"/>
                <w:sz w:val="24"/>
              </w:rPr>
            </w:pPr>
            <w:r>
              <w:rPr>
                <w:rFonts w:hint="eastAsia" w:ascii="Times New Roman" w:cs="Times New Roman"/>
                <w:color w:val="auto"/>
                <w:sz w:val="24"/>
              </w:rPr>
              <w:t>《工作场所职业病危害警示标识》（GBZ158-2003）</w:t>
            </w:r>
          </w:p>
          <w:p>
            <w:pPr>
              <w:pStyle w:val="56"/>
              <w:numPr>
                <w:ilvl w:val="0"/>
                <w:numId w:val="2"/>
              </w:numPr>
              <w:spacing w:line="360" w:lineRule="auto"/>
              <w:ind w:left="0" w:firstLine="0"/>
              <w:rPr>
                <w:rFonts w:hint="eastAsia" w:ascii="Times New Roman" w:cs="Times New Roman"/>
                <w:color w:val="auto"/>
                <w:sz w:val="24"/>
              </w:rPr>
            </w:pPr>
            <w:r>
              <w:rPr>
                <w:rFonts w:hint="eastAsia" w:ascii="Times New Roman" w:cs="Times New Roman"/>
                <w:color w:val="auto"/>
                <w:sz w:val="24"/>
              </w:rPr>
              <w:t>《国家危险废物名录（</w:t>
            </w:r>
            <w:r>
              <w:rPr>
                <w:rFonts w:hint="eastAsia" w:ascii="Times New Roman" w:cs="Times New Roman"/>
                <w:color w:val="auto"/>
                <w:sz w:val="24"/>
                <w:lang w:val="en-US"/>
              </w:rPr>
              <w:t>2021年版</w:t>
            </w:r>
            <w:r>
              <w:rPr>
                <w:rFonts w:hint="eastAsia" w:ascii="Times New Roman" w:cs="Times New Roman"/>
                <w:color w:val="auto"/>
                <w:sz w:val="24"/>
              </w:rPr>
              <w:t>）》部令第15号；</w:t>
            </w:r>
          </w:p>
          <w:p>
            <w:pPr>
              <w:pStyle w:val="56"/>
              <w:numPr>
                <w:ilvl w:val="0"/>
                <w:numId w:val="2"/>
              </w:numPr>
              <w:spacing w:line="360" w:lineRule="auto"/>
              <w:ind w:left="0" w:firstLine="0"/>
              <w:rPr>
                <w:color w:val="auto"/>
              </w:rPr>
            </w:pPr>
            <w:r>
              <w:rPr>
                <w:rFonts w:hint="eastAsia" w:ascii="Times New Roman" w:cs="Times New Roman"/>
                <w:color w:val="auto"/>
                <w:sz w:val="24"/>
              </w:rPr>
              <w:t>《危险废物贮存污染控制标准》（GB18597－2001）（2013年修订）</w:t>
            </w:r>
            <w:r>
              <w:rPr>
                <w:rFonts w:hint="eastAsia" w:ascii="Times New Roman" w:cs="Times New Roman"/>
                <w:color w:val="auto"/>
                <w:sz w:val="24"/>
                <w:lang w:eastAsia="zh-CN"/>
              </w:rPr>
              <w:t>。</w:t>
            </w:r>
          </w:p>
          <w:p>
            <w:pPr>
              <w:pStyle w:val="56"/>
              <w:spacing w:line="360" w:lineRule="auto"/>
              <w:ind w:left="420" w:firstLine="0"/>
              <w:rPr>
                <w:color w:val="auto"/>
              </w:rPr>
            </w:pPr>
          </w:p>
          <w:p>
            <w:pPr>
              <w:pStyle w:val="56"/>
              <w:spacing w:line="360" w:lineRule="auto"/>
              <w:ind w:left="420" w:firstLine="0"/>
              <w:rPr>
                <w:color w:val="auto"/>
              </w:rPr>
            </w:pPr>
          </w:p>
          <w:p>
            <w:pPr>
              <w:pStyle w:val="56"/>
              <w:spacing w:line="360" w:lineRule="auto"/>
              <w:ind w:left="420" w:firstLine="0"/>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8" w:hRule="atLeast"/>
        </w:trPr>
        <w:tc>
          <w:tcPr>
            <w:tcW w:w="704" w:type="dxa"/>
            <w:noWrap w:val="0"/>
            <w:vAlign w:val="center"/>
          </w:tcPr>
          <w:p>
            <w:pPr>
              <w:pStyle w:val="45"/>
              <w:spacing w:before="156" w:after="156"/>
              <w:jc w:val="center"/>
              <w:rPr>
                <w:color w:val="auto"/>
              </w:rPr>
            </w:pPr>
            <w:r>
              <w:rPr>
                <w:rFonts w:hint="eastAsia"/>
                <w:color w:val="auto"/>
              </w:rPr>
              <w:t>其他</w:t>
            </w:r>
          </w:p>
        </w:tc>
        <w:tc>
          <w:tcPr>
            <w:tcW w:w="7592" w:type="dxa"/>
            <w:noWrap w:val="0"/>
            <w:vAlign w:val="center"/>
          </w:tcPr>
          <w:p>
            <w:pPr>
              <w:spacing w:line="360" w:lineRule="auto"/>
              <w:rPr>
                <w:rFonts w:ascii="Times New Roman" w:hAnsi="Times New Roman"/>
                <w:color w:val="auto"/>
                <w:sz w:val="24"/>
                <w:szCs w:val="24"/>
              </w:rPr>
            </w:pPr>
          </w:p>
          <w:p>
            <w:pPr>
              <w:pStyle w:val="56"/>
              <w:numPr>
                <w:ilvl w:val="0"/>
                <w:numId w:val="3"/>
              </w:numPr>
              <w:spacing w:line="360" w:lineRule="auto"/>
              <w:ind w:left="0" w:firstLine="0"/>
              <w:rPr>
                <w:rFonts w:ascii="Times New Roman" w:hAnsi="Times New Roman" w:cs="Times New Roman"/>
                <w:color w:val="auto"/>
                <w:sz w:val="24"/>
                <w:szCs w:val="24"/>
              </w:rPr>
            </w:pPr>
            <w:r>
              <w:rPr>
                <w:rFonts w:hint="eastAsia"/>
                <w:color w:val="auto"/>
                <w:sz w:val="24"/>
                <w:szCs w:val="24"/>
              </w:rPr>
              <w:t>本项目电离辐射检测报告</w:t>
            </w:r>
            <w:r>
              <w:rPr>
                <w:rFonts w:ascii="Times New Roman" w:cs="Times New Roman"/>
                <w:color w:val="auto"/>
                <w:sz w:val="24"/>
                <w:szCs w:val="24"/>
              </w:rPr>
              <w:t>；</w:t>
            </w:r>
          </w:p>
          <w:p>
            <w:pPr>
              <w:pStyle w:val="56"/>
              <w:numPr>
                <w:ilvl w:val="0"/>
                <w:numId w:val="3"/>
              </w:numPr>
              <w:spacing w:line="360" w:lineRule="auto"/>
              <w:ind w:left="0" w:firstLine="0"/>
              <w:rPr>
                <w:rFonts w:ascii="Times New Roman" w:hAnsi="Times New Roman" w:cs="Times New Roman"/>
                <w:color w:val="auto"/>
                <w:sz w:val="24"/>
              </w:rPr>
            </w:pPr>
            <w:r>
              <w:rPr>
                <w:rFonts w:hint="eastAsia"/>
                <w:color w:val="auto"/>
                <w:sz w:val="24"/>
                <w:szCs w:val="24"/>
              </w:rPr>
              <w:t>环境影响评价委托书</w:t>
            </w:r>
            <w:r>
              <w:rPr>
                <w:rFonts w:ascii="Times New Roman" w:hAnsi="Times New Roman" w:cs="Times New Roman"/>
                <w:color w:val="auto"/>
                <w:sz w:val="24"/>
              </w:rPr>
              <w:t>；</w:t>
            </w:r>
          </w:p>
          <w:p>
            <w:pPr>
              <w:pStyle w:val="56"/>
              <w:numPr>
                <w:ilvl w:val="0"/>
                <w:numId w:val="3"/>
              </w:numPr>
              <w:spacing w:line="360" w:lineRule="auto"/>
              <w:ind w:left="0" w:firstLine="0"/>
              <w:rPr>
                <w:rFonts w:hint="default" w:ascii="Times New Roman" w:hAnsi="Times New Roman" w:cs="Times New Roman"/>
                <w:color w:val="auto"/>
                <w:sz w:val="24"/>
              </w:rPr>
            </w:pPr>
            <w:r>
              <w:rPr>
                <w:rFonts w:hint="default" w:ascii="Times New Roman" w:hAnsi="Times New Roman" w:cs="Times New Roman"/>
                <w:color w:val="auto"/>
                <w:sz w:val="24"/>
                <w:szCs w:val="24"/>
              </w:rPr>
              <w:t>《辐射防护》（第11卷，第二期，湖南省环境天然贯穿辐射水</w:t>
            </w:r>
            <w:r>
              <w:rPr>
                <w:rFonts w:hint="default" w:ascii="Times New Roman" w:hAnsi="Times New Roman" w:cs="Times New Roman"/>
                <w:color w:val="auto"/>
                <w:sz w:val="24"/>
                <w:szCs w:val="24"/>
                <w:lang w:val="en-US" w:bidi="ar-SA"/>
              </w:rPr>
              <w:t>平调查研究，湖南省环境监测中心站，1991年3月）。</w:t>
            </w:r>
          </w:p>
          <w:p>
            <w:pPr>
              <w:pStyle w:val="47"/>
              <w:ind w:firstLine="0" w:firstLineChars="0"/>
              <w:rPr>
                <w:color w:val="auto"/>
              </w:rPr>
            </w:pPr>
          </w:p>
          <w:p>
            <w:pPr>
              <w:pStyle w:val="47"/>
              <w:ind w:firstLine="0" w:firstLineChars="0"/>
              <w:rPr>
                <w:color w:val="auto"/>
              </w:rPr>
            </w:pPr>
          </w:p>
        </w:tc>
      </w:tr>
    </w:tbl>
    <w:p>
      <w:pPr>
        <w:pStyle w:val="51"/>
        <w:rPr>
          <w:color w:val="auto"/>
        </w:rPr>
        <w:sectPr>
          <w:pgSz w:w="11906" w:h="16838"/>
          <w:pgMar w:top="1440" w:right="1800" w:bottom="1440" w:left="1800" w:header="851" w:footer="992" w:gutter="0"/>
          <w:cols w:space="720" w:num="1"/>
          <w:docGrid w:type="lines" w:linePitch="312" w:charSpace="0"/>
        </w:sectPr>
      </w:pPr>
    </w:p>
    <w:p>
      <w:pPr>
        <w:pStyle w:val="51"/>
        <w:rPr>
          <w:color w:val="auto"/>
        </w:rPr>
      </w:pPr>
      <w:bookmarkStart w:id="127" w:name="_Toc32733"/>
      <w:r>
        <w:rPr>
          <w:rFonts w:hint="eastAsia"/>
          <w:color w:val="auto"/>
        </w:rPr>
        <w:t>表7保护目标与评价标准</w:t>
      </w:r>
      <w:bookmarkEnd w:id="127"/>
    </w:p>
    <w:tbl>
      <w:tblPr>
        <w:tblStyle w:val="23"/>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22" w:hRule="atLeast"/>
        </w:trPr>
        <w:tc>
          <w:tcPr>
            <w:tcW w:w="8296" w:type="dxa"/>
            <w:noWrap w:val="0"/>
            <w:vAlign w:val="top"/>
          </w:tcPr>
          <w:p>
            <w:pPr>
              <w:pStyle w:val="45"/>
              <w:spacing w:before="156" w:after="156"/>
              <w:rPr>
                <w:color w:val="auto"/>
              </w:rPr>
            </w:pPr>
            <w:r>
              <w:rPr>
                <w:rFonts w:hint="eastAsia"/>
                <w:color w:val="auto"/>
              </w:rPr>
              <w:t>7.1评价范围</w:t>
            </w:r>
          </w:p>
          <w:p>
            <w:pPr>
              <w:pStyle w:val="47"/>
              <w:rPr>
                <w:color w:val="auto"/>
              </w:rPr>
            </w:pPr>
            <w:r>
              <w:rPr>
                <w:color w:val="auto"/>
              </w:rPr>
              <w:t>根据《辐射环境保护管理导则-核技术利用项目环境影响评价文件的内容和格式》（HJ10.1－2016）中“放射源和射线装置应用项目的评价范围，通常取装置所在场所实体屏蔽物质边界外50m的范围”，结合本项目</w:t>
            </w:r>
            <w:r>
              <w:rPr>
                <w:rFonts w:hint="eastAsia"/>
                <w:color w:val="auto"/>
              </w:rPr>
              <w:t>情况</w:t>
            </w:r>
            <w:r>
              <w:rPr>
                <w:color w:val="auto"/>
              </w:rPr>
              <w:t>，确定以射线装置</w:t>
            </w:r>
            <w:r>
              <w:rPr>
                <w:rFonts w:hint="eastAsia"/>
                <w:color w:val="auto"/>
              </w:rPr>
              <w:t>探伤室</w:t>
            </w:r>
            <w:r>
              <w:rPr>
                <w:color w:val="auto"/>
              </w:rPr>
              <w:t>墙体边界外50m范围作为辐射环境的评价范围。</w:t>
            </w:r>
          </w:p>
          <w:p>
            <w:pPr>
              <w:pStyle w:val="49"/>
              <w:rPr>
                <w:color w:val="auto"/>
              </w:rPr>
            </w:pPr>
            <w:r>
              <w:drawing>
                <wp:anchor distT="0" distB="0" distL="114300" distR="114300" simplePos="0" relativeHeight="251688960" behindDoc="0" locked="0" layoutInCell="1" allowOverlap="1">
                  <wp:simplePos x="0" y="0"/>
                  <wp:positionH relativeFrom="column">
                    <wp:posOffset>4352925</wp:posOffset>
                  </wp:positionH>
                  <wp:positionV relativeFrom="paragraph">
                    <wp:posOffset>83185</wp:posOffset>
                  </wp:positionV>
                  <wp:extent cx="779145" cy="833755"/>
                  <wp:effectExtent l="9525" t="9525" r="11430" b="13970"/>
                  <wp:wrapNone/>
                  <wp:docPr id="3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5"/>
                          <pic:cNvPicPr>
                            <a:picLocks noChangeAspect="1"/>
                          </pic:cNvPicPr>
                        </pic:nvPicPr>
                        <pic:blipFill>
                          <a:blip r:embed="rId7"/>
                          <a:stretch>
                            <a:fillRect/>
                          </a:stretch>
                        </pic:blipFill>
                        <pic:spPr>
                          <a:xfrm>
                            <a:off x="0" y="0"/>
                            <a:ext cx="779145" cy="833755"/>
                          </a:xfrm>
                          <a:prstGeom prst="rect">
                            <a:avLst/>
                          </a:prstGeom>
                          <a:noFill/>
                          <a:ln>
                            <a:solidFill>
                              <a:schemeClr val="tx1"/>
                            </a:solidFill>
                          </a:ln>
                        </pic:spPr>
                      </pic:pic>
                    </a:graphicData>
                  </a:graphic>
                </wp:anchor>
              </w:drawing>
            </w:r>
            <w:r>
              <w:rPr>
                <w:color w:val="auto"/>
              </w:rPr>
              <mc:AlternateContent>
                <mc:Choice Requires="wps">
                  <w:drawing>
                    <wp:anchor distT="0" distB="0" distL="114300" distR="114300" simplePos="0" relativeHeight="251682816" behindDoc="0" locked="0" layoutInCell="1" allowOverlap="1">
                      <wp:simplePos x="0" y="0"/>
                      <wp:positionH relativeFrom="column">
                        <wp:posOffset>2527300</wp:posOffset>
                      </wp:positionH>
                      <wp:positionV relativeFrom="paragraph">
                        <wp:posOffset>1621155</wp:posOffset>
                      </wp:positionV>
                      <wp:extent cx="79375" cy="140335"/>
                      <wp:effectExtent l="13335" t="21590" r="17780" b="32385"/>
                      <wp:wrapNone/>
                      <wp:docPr id="13" name="矩形 64"/>
                      <wp:cNvGraphicFramePr/>
                      <a:graphic xmlns:a="http://schemas.openxmlformats.org/drawingml/2006/main">
                        <a:graphicData uri="http://schemas.microsoft.com/office/word/2010/wordprocessingShape">
                          <wps:wsp>
                            <wps:cNvSpPr/>
                            <wps:spPr>
                              <a:xfrm rot="17040000">
                                <a:off x="0" y="0"/>
                                <a:ext cx="79375" cy="140335"/>
                              </a:xfrm>
                              <a:prstGeom prst="rect">
                                <a:avLst/>
                              </a:prstGeom>
                              <a:solidFill>
                                <a:srgbClr val="D6DCE5"/>
                              </a:solidFill>
                              <a:ln w="9525" cap="flat" cmpd="sng">
                                <a:solidFill>
                                  <a:srgbClr val="002060"/>
                                </a:solidFill>
                                <a:prstDash val="solid"/>
                                <a:miter/>
                                <a:headEnd type="none" w="med" len="med"/>
                                <a:tailEnd type="none" w="med" len="med"/>
                              </a:ln>
                            </wps:spPr>
                            <wps:bodyPr wrap="square" upright="1"/>
                          </wps:wsp>
                        </a:graphicData>
                      </a:graphic>
                    </wp:anchor>
                  </w:drawing>
                </mc:Choice>
                <mc:Fallback>
                  <w:pict>
                    <v:rect id="矩形 64" o:spid="_x0000_s1026" o:spt="1" style="position:absolute;left:0pt;margin-left:199pt;margin-top:127.65pt;height:11.05pt;width:6.25pt;rotation:-4980736f;z-index:251682816;mso-width-relative:page;mso-height-relative:page;" fillcolor="#D6DCE5" filled="t" stroked="t" coordsize="21600,21600" o:gfxdata="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JeJh4DaAAAACwEAAA8A&#10;AAAAAAAAAQAgAAAAIgAAAGRycy9kb3ducmV2LnhtbFBLAQIUABQAAAAIAIdO4kAuDe6KFQIAADsE&#10;AAAOAAAAAAAAAAEAIAAAACkBAABkcnMvZTJvRG9jLnhtbFBLBQYAAAAABgAGAFkBAACwBQAAAAA=&#10;">
                      <v:fill on="t" focussize="0,0"/>
                      <v:stroke color="#002060" joinstyle="miter"/>
                      <v:imagedata o:title=""/>
                      <o:lock v:ext="edit" aspectratio="f"/>
                    </v:rect>
                  </w:pict>
                </mc:Fallback>
              </mc:AlternateContent>
            </w:r>
            <w:r>
              <w:rPr>
                <w:color w:val="auto"/>
                <w:sz w:val="24"/>
              </w:rPr>
              <mc:AlternateContent>
                <mc:Choice Requires="wps">
                  <w:drawing>
                    <wp:anchor distT="0" distB="0" distL="114300" distR="114300" simplePos="0" relativeHeight="251678720" behindDoc="0" locked="0" layoutInCell="1" allowOverlap="1">
                      <wp:simplePos x="0" y="0"/>
                      <wp:positionH relativeFrom="column">
                        <wp:posOffset>1209040</wp:posOffset>
                      </wp:positionH>
                      <wp:positionV relativeFrom="paragraph">
                        <wp:posOffset>1741170</wp:posOffset>
                      </wp:positionV>
                      <wp:extent cx="1004570" cy="28575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004570" cy="2857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b/>
                                      <w:bCs/>
                                      <w:color w:val="0000FF"/>
                                      <w:lang w:val="en-US" w:eastAsia="zh-CN"/>
                                    </w:rPr>
                                  </w:pPr>
                                  <w:r>
                                    <w:rPr>
                                      <w:rFonts w:hint="eastAsia"/>
                                      <w:b/>
                                      <w:bCs/>
                                      <w:color w:val="0000FF"/>
                                      <w:lang w:val="en-US" w:eastAsia="zh-CN"/>
                                    </w:rPr>
                                    <w:t>控制室&amp;暗室</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5.2pt;margin-top:137.1pt;height:22.5pt;width:79.1pt;z-index:251678720;mso-width-relative:page;mso-height-relative:page;" filled="f" stroked="f" coordsize="21600,21600" o:gfxdata="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2x3Bc3AAAAAsBAAAPAAAAAAAAAAEAIAAAACIAAABk&#10;cnMvZG93bnJldi54bWxQSwECFAAUAAAACACHTuJAgNH0WTsCAABoBAAADgAAAAAAAAABACAAAAAr&#10;AQAAZHJzL2Uyb0RvYy54bWxQSwUGAAAAAAYABgBZAQAA2AUAAAAA&#10;">
                      <v:fill on="f" focussize="0,0"/>
                      <v:stroke on="f" weight="0.5pt"/>
                      <v:imagedata o:title=""/>
                      <o:lock v:ext="edit" aspectratio="f"/>
                      <v:textbox>
                        <w:txbxContent>
                          <w:p>
                            <w:pPr>
                              <w:rPr>
                                <w:rFonts w:hint="default" w:eastAsia="宋体"/>
                                <w:b/>
                                <w:bCs/>
                                <w:color w:val="0000FF"/>
                                <w:lang w:val="en-US" w:eastAsia="zh-CN"/>
                              </w:rPr>
                            </w:pPr>
                            <w:r>
                              <w:rPr>
                                <w:rFonts w:hint="eastAsia"/>
                                <w:b/>
                                <w:bCs/>
                                <w:color w:val="0000FF"/>
                                <w:lang w:val="en-US" w:eastAsia="zh-CN"/>
                              </w:rPr>
                              <w:t>控制室&amp;暗室</w:t>
                            </w:r>
                          </w:p>
                        </w:txbxContent>
                      </v:textbox>
                    </v:shape>
                  </w:pict>
                </mc:Fallback>
              </mc:AlternateContent>
            </w:r>
            <w:r>
              <w:rPr>
                <w:color w:val="auto"/>
              </w:rPr>
              <mc:AlternateContent>
                <mc:Choice Requires="wps">
                  <w:drawing>
                    <wp:anchor distT="0" distB="0" distL="114300" distR="114300" simplePos="0" relativeHeight="251669504" behindDoc="0" locked="0" layoutInCell="1" allowOverlap="1">
                      <wp:simplePos x="0" y="0"/>
                      <wp:positionH relativeFrom="column">
                        <wp:posOffset>1156335</wp:posOffset>
                      </wp:positionH>
                      <wp:positionV relativeFrom="paragraph">
                        <wp:posOffset>1781810</wp:posOffset>
                      </wp:positionV>
                      <wp:extent cx="1026795" cy="212725"/>
                      <wp:effectExtent l="5080" t="76835" r="434975" b="15240"/>
                      <wp:wrapNone/>
                      <wp:docPr id="18" name="自选图形 70"/>
                      <wp:cNvGraphicFramePr/>
                      <a:graphic xmlns:a="http://schemas.openxmlformats.org/drawingml/2006/main">
                        <a:graphicData uri="http://schemas.microsoft.com/office/word/2010/wordprocessingShape">
                          <wps:wsp>
                            <wps:cNvSpPr/>
                            <wps:spPr>
                              <a:xfrm>
                                <a:off x="0" y="0"/>
                                <a:ext cx="1026795" cy="212725"/>
                              </a:xfrm>
                              <a:prstGeom prst="wedgeRectCallout">
                                <a:avLst>
                                  <a:gd name="adj1" fmla="val 88155"/>
                                  <a:gd name="adj2" fmla="val -79552"/>
                                </a:avLst>
                              </a:prstGeom>
                              <a:solidFill>
                                <a:srgbClr val="BDD7EE"/>
                              </a:solidFill>
                              <a:ln w="3175" cap="flat" cmpd="sng">
                                <a:solidFill>
                                  <a:srgbClr val="000000"/>
                                </a:solidFill>
                                <a:prstDash val="solid"/>
                                <a:miter/>
                                <a:headEnd type="none" w="med" len="med"/>
                                <a:tailEnd type="none" w="med" len="med"/>
                              </a:ln>
                            </wps:spPr>
                            <wps:txbx>
                              <w:txbxContent>
                                <w:p/>
                              </w:txbxContent>
                            </wps:txbx>
                            <wps:bodyPr wrap="square" upright="1"/>
                          </wps:wsp>
                        </a:graphicData>
                      </a:graphic>
                    </wp:anchor>
                  </w:drawing>
                </mc:Choice>
                <mc:Fallback>
                  <w:pict>
                    <v:shape id="自选图形 70" o:spid="_x0000_s1026" o:spt="61" type="#_x0000_t61" style="position:absolute;left:0pt;margin-left:91.05pt;margin-top:140.3pt;height:16.75pt;width:80.85pt;z-index:251669504;mso-width-relative:page;mso-height-relative:page;" fillcolor="#BDD7EE" filled="t" stroked="t" coordsize="21600,21600" o:gfxdata="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C6GKaA2QAAAAsBAAAPAAAAAAAAAAEA&#10;IAAAACIAAABkcnMvZG93bnJldi54bWxQSwECFAAUAAAACACHTuJASxoixUcCAACdBAAADgAAAAAA&#10;AAABACAAAAAoAQAAZHJzL2Uyb0RvYy54bWxQSwUGAAAAAAYABgBZAQAA4QUAAAAA&#10;" adj="29841,-6383">
                      <v:fill on="t" focussize="0,0"/>
                      <v:stroke weight="0.25pt" color="#000000" joinstyle="miter"/>
                      <v:imagedata o:title=""/>
                      <o:lock v:ext="edit" aspectratio="f"/>
                      <v:textbox>
                        <w:txbxContent>
                          <w:p/>
                        </w:txbxContent>
                      </v:textbox>
                    </v:shape>
                  </w:pict>
                </mc:Fallback>
              </mc:AlternateContent>
            </w:r>
            <w:r>
              <w:rPr>
                <w:color w:val="auto"/>
                <w:sz w:val="24"/>
              </w:rPr>
              <mc:AlternateContent>
                <mc:Choice Requires="wps">
                  <w:drawing>
                    <wp:anchor distT="0" distB="0" distL="114300" distR="114300" simplePos="0" relativeHeight="251671552" behindDoc="0" locked="0" layoutInCell="1" allowOverlap="1">
                      <wp:simplePos x="0" y="0"/>
                      <wp:positionH relativeFrom="column">
                        <wp:posOffset>2228215</wp:posOffset>
                      </wp:positionH>
                      <wp:positionV relativeFrom="paragraph">
                        <wp:posOffset>1889760</wp:posOffset>
                      </wp:positionV>
                      <wp:extent cx="853440" cy="279400"/>
                      <wp:effectExtent l="0" t="0" r="0" b="0"/>
                      <wp:wrapNone/>
                      <wp:docPr id="26" name="文本框 26"/>
                      <wp:cNvGraphicFramePr/>
                      <a:graphic xmlns:a="http://schemas.openxmlformats.org/drawingml/2006/main">
                        <a:graphicData uri="http://schemas.microsoft.com/office/word/2010/wordprocessingShape">
                          <wps:wsp>
                            <wps:cNvSpPr txBox="1"/>
                            <wps:spPr>
                              <a:xfrm rot="780000">
                                <a:off x="0" y="0"/>
                                <a:ext cx="853440" cy="2794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b/>
                                      <w:bCs/>
                                      <w:color w:val="0000FF"/>
                                      <w:lang w:val="en-US" w:eastAsia="zh-CN"/>
                                    </w:rPr>
                                  </w:pPr>
                                  <w:r>
                                    <w:rPr>
                                      <w:rFonts w:hint="eastAsia"/>
                                      <w:b/>
                                      <w:bCs/>
                                      <w:color w:val="0000FF"/>
                                      <w:lang w:val="en-US" w:eastAsia="zh-CN"/>
                                    </w:rPr>
                                    <w:t>生产车间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5.45pt;margin-top:148.8pt;height:22pt;width:67.2pt;rotation:851968f;z-index:251671552;mso-width-relative:page;mso-height-relative:page;" filled="f" stroked="f" coordsize="21600,21600" o:gfxdata="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mOlkeNkAAAALAQAADwAAAAAAAAABACAAAAAi&#10;AAAAZHJzL2Rvd25yZXYueG1sUEsBAhQAFAAAAAgAh07iQJwwIdpCAgAAdAQAAA4AAAAAAAAAAQAg&#10;AAAAKAEAAGRycy9lMm9Eb2MueG1sUEsFBgAAAAAGAAYAWQEAANwFAAAAAA==&#10;">
                      <v:fill on="f" focussize="0,0"/>
                      <v:stroke on="f" weight="0.5pt"/>
                      <v:imagedata o:title=""/>
                      <o:lock v:ext="edit" aspectratio="f"/>
                      <v:textbox>
                        <w:txbxContent>
                          <w:p>
                            <w:pPr>
                              <w:rPr>
                                <w:rFonts w:hint="default" w:eastAsia="宋体"/>
                                <w:b/>
                                <w:bCs/>
                                <w:color w:val="0000FF"/>
                                <w:lang w:val="en-US" w:eastAsia="zh-CN"/>
                              </w:rPr>
                            </w:pPr>
                            <w:r>
                              <w:rPr>
                                <w:rFonts w:hint="eastAsia"/>
                                <w:b/>
                                <w:bCs/>
                                <w:color w:val="0000FF"/>
                                <w:lang w:val="en-US" w:eastAsia="zh-CN"/>
                              </w:rPr>
                              <w:t>生产车间</w:t>
                            </w:r>
                          </w:p>
                        </w:txbxContent>
                      </v:textbox>
                    </v:shape>
                  </w:pict>
                </mc:Fallback>
              </mc:AlternateContent>
            </w:r>
            <w:r>
              <w:rPr>
                <w:color w:val="auto"/>
                <w:sz w:val="24"/>
              </w:rPr>
              <mc:AlternateContent>
                <mc:Choice Requires="wps">
                  <w:drawing>
                    <wp:anchor distT="0" distB="0" distL="114300" distR="114300" simplePos="0" relativeHeight="251672576" behindDoc="0" locked="0" layoutInCell="1" allowOverlap="1">
                      <wp:simplePos x="0" y="0"/>
                      <wp:positionH relativeFrom="column">
                        <wp:posOffset>2281555</wp:posOffset>
                      </wp:positionH>
                      <wp:positionV relativeFrom="paragraph">
                        <wp:posOffset>1449705</wp:posOffset>
                      </wp:positionV>
                      <wp:extent cx="829310" cy="720090"/>
                      <wp:effectExtent l="91440" t="107950" r="107950" b="124460"/>
                      <wp:wrapNone/>
                      <wp:docPr id="29" name="矩形 29"/>
                      <wp:cNvGraphicFramePr/>
                      <a:graphic xmlns:a="http://schemas.openxmlformats.org/drawingml/2006/main">
                        <a:graphicData uri="http://schemas.microsoft.com/office/word/2010/wordprocessingShape">
                          <wps:wsp>
                            <wps:cNvSpPr/>
                            <wps:spPr>
                              <a:xfrm rot="900000">
                                <a:off x="0" y="0"/>
                                <a:ext cx="829310" cy="720090"/>
                              </a:xfrm>
                              <a:prstGeom prst="rect">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79.65pt;margin-top:114.15pt;height:56.7pt;width:65.3pt;rotation:983040f;z-index:251672576;v-text-anchor:middle;mso-width-relative:page;mso-height-relative:page;" filled="f" stroked="t" coordsize="21600,21600" o:gfxdata="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DH6wJjbAAAACwEAAA8AAAAAAAAAAQAgAAAAIgAAAGRycy9kb3ducmV2LnhtbFBLAQIU&#10;ABQAAAAIAIdO4kAtwYhKYgIAAMIEAAAOAAAAAAAAAAEAIAAAACoBAABkcnMvZTJvRG9jLnhtbFBL&#10;BQYAAAAABgAGAFkBAAD+BQAAAAA=&#10;">
                      <v:fill on="f" focussize="0,0"/>
                      <v:stroke weight="2pt" color="#FFFF00 [3204]" joinstyle="round"/>
                      <v:imagedata o:title=""/>
                      <o:lock v:ext="edit" aspectratio="f"/>
                    </v:rect>
                  </w:pict>
                </mc:Fallback>
              </mc:AlternateContent>
            </w:r>
            <w:r>
              <w:rPr>
                <w:color w:val="auto"/>
                <w:sz w:val="24"/>
              </w:rPr>
              <mc:AlternateContent>
                <mc:Choice Requires="wps">
                  <w:drawing>
                    <wp:anchor distT="0" distB="0" distL="114300" distR="114300" simplePos="0" relativeHeight="251677696" behindDoc="0" locked="0" layoutInCell="1" allowOverlap="1">
                      <wp:simplePos x="0" y="0"/>
                      <wp:positionH relativeFrom="column">
                        <wp:posOffset>1548130</wp:posOffset>
                      </wp:positionH>
                      <wp:positionV relativeFrom="paragraph">
                        <wp:posOffset>1399540</wp:posOffset>
                      </wp:positionV>
                      <wp:extent cx="653415" cy="27432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653415" cy="2743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b/>
                                      <w:bCs/>
                                      <w:color w:val="0000FF"/>
                                      <w:lang w:val="en-US" w:eastAsia="zh-CN"/>
                                    </w:rPr>
                                  </w:pPr>
                                  <w:r>
                                    <w:rPr>
                                      <w:rFonts w:hint="eastAsia"/>
                                      <w:b/>
                                      <w:bCs/>
                                      <w:color w:val="0000FF"/>
                                      <w:lang w:val="en-US" w:eastAsia="zh-CN"/>
                                    </w:rPr>
                                    <w:t>探伤室</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1.9pt;margin-top:110.2pt;height:21.6pt;width:51.45pt;z-index:251677696;mso-width-relative:page;mso-height-relative:page;" filled="f" stroked="f" coordsize="21600,21600" o:gfxdata="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Ei0HgtwAAAALAQAADwAAAAAAAAABACAAAAAiAAAA&#10;ZHJzL2Rvd25yZXYueG1sUEsBAhQAFAAAAAgAh07iQIB/oxM8AgAAZwQAAA4AAAAAAAAAAQAgAAAA&#10;KwEAAGRycy9lMm9Eb2MueG1sUEsFBgAAAAAGAAYAWQEAANkFAAAAAA==&#10;">
                      <v:fill on="f" focussize="0,0"/>
                      <v:stroke on="f" weight="0.5pt"/>
                      <v:imagedata o:title=""/>
                      <o:lock v:ext="edit" aspectratio="f"/>
                      <v:textbox>
                        <w:txbxContent>
                          <w:p>
                            <w:pPr>
                              <w:rPr>
                                <w:rFonts w:hint="default" w:eastAsia="宋体"/>
                                <w:b/>
                                <w:bCs/>
                                <w:color w:val="0000FF"/>
                                <w:lang w:val="en-US" w:eastAsia="zh-CN"/>
                              </w:rPr>
                            </w:pPr>
                            <w:r>
                              <w:rPr>
                                <w:rFonts w:hint="eastAsia"/>
                                <w:b/>
                                <w:bCs/>
                                <w:color w:val="0000FF"/>
                                <w:lang w:val="en-US" w:eastAsia="zh-CN"/>
                              </w:rPr>
                              <w:t>探伤室</w:t>
                            </w:r>
                          </w:p>
                        </w:txbxContent>
                      </v:textbox>
                    </v:shape>
                  </w:pict>
                </mc:Fallback>
              </mc:AlternateContent>
            </w:r>
            <w:r>
              <w:rPr>
                <w:color w:val="auto"/>
              </w:rPr>
              <mc:AlternateContent>
                <mc:Choice Requires="wps">
                  <w:drawing>
                    <wp:anchor distT="0" distB="0" distL="114300" distR="114300" simplePos="0" relativeHeight="251668480" behindDoc="0" locked="0" layoutInCell="1" allowOverlap="1">
                      <wp:simplePos x="0" y="0"/>
                      <wp:positionH relativeFrom="column">
                        <wp:posOffset>1561465</wp:posOffset>
                      </wp:positionH>
                      <wp:positionV relativeFrom="paragraph">
                        <wp:posOffset>1445260</wp:posOffset>
                      </wp:positionV>
                      <wp:extent cx="575945" cy="204470"/>
                      <wp:effectExtent l="4445" t="5080" r="276860" b="19050"/>
                      <wp:wrapNone/>
                      <wp:docPr id="17" name="自选图形 66"/>
                      <wp:cNvGraphicFramePr/>
                      <a:graphic xmlns:a="http://schemas.openxmlformats.org/drawingml/2006/main">
                        <a:graphicData uri="http://schemas.microsoft.com/office/word/2010/wordprocessingShape">
                          <wps:wsp>
                            <wps:cNvSpPr/>
                            <wps:spPr>
                              <a:xfrm>
                                <a:off x="0" y="0"/>
                                <a:ext cx="575945" cy="204470"/>
                              </a:xfrm>
                              <a:prstGeom prst="wedgeRectCallout">
                                <a:avLst>
                                  <a:gd name="adj1" fmla="val 91339"/>
                                  <a:gd name="adj2" fmla="val 14596"/>
                                </a:avLst>
                              </a:prstGeom>
                              <a:solidFill>
                                <a:srgbClr val="BDD7EE"/>
                              </a:solidFill>
                              <a:ln w="3175" cap="flat" cmpd="sng">
                                <a:solidFill>
                                  <a:srgbClr val="000000"/>
                                </a:solidFill>
                                <a:prstDash val="solid"/>
                                <a:miter/>
                                <a:headEnd type="none" w="med" len="med"/>
                                <a:tailEnd type="none" w="med" len="med"/>
                              </a:ln>
                            </wps:spPr>
                            <wps:txbx>
                              <w:txbxContent>
                                <w:p/>
                              </w:txbxContent>
                            </wps:txbx>
                            <wps:bodyPr wrap="square" upright="1"/>
                          </wps:wsp>
                        </a:graphicData>
                      </a:graphic>
                    </wp:anchor>
                  </w:drawing>
                </mc:Choice>
                <mc:Fallback>
                  <w:pict>
                    <v:shape id="自选图形 66" o:spid="_x0000_s1026" o:spt="61" type="#_x0000_t61" style="position:absolute;left:0pt;margin-left:122.95pt;margin-top:113.8pt;height:16.1pt;width:45.35pt;z-index:251668480;mso-width-relative:page;mso-height-relative:page;" fillcolor="#BDD7EE" filled="t" stroked="t" coordsize="21600,21600" o:gfxdata="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BFVu6J3AAAAAsBAAAPAAAAAAAA&#10;AAEAIAAAACIAAABkcnMvZG93bnJldi54bWxQSwECFAAUAAAACACHTuJA/qKsc0cCAACbBAAADgAA&#10;AAAAAAABACAAAAArAQAAZHJzL2Uyb0RvYy54bWxQSwUGAAAAAAYABgBZAQAA5AUAAAAA&#10;" adj="30529,13953">
                      <v:fill on="t" focussize="0,0"/>
                      <v:stroke weight="0.25pt" color="#000000" joinstyle="miter"/>
                      <v:imagedata o:title=""/>
                      <o:lock v:ext="edit" aspectratio="f"/>
                      <v:textbox>
                        <w:txbxContent>
                          <w:p/>
                        </w:txbxContent>
                      </v:textbox>
                    </v:shape>
                  </w:pict>
                </mc:Fallback>
              </mc:AlternateContent>
            </w:r>
            <w:r>
              <w:rPr>
                <w:color w:val="auto"/>
                <w:sz w:val="24"/>
              </w:rPr>
              <mc:AlternateContent>
                <mc:Choice Requires="wps">
                  <w:drawing>
                    <wp:anchor distT="0" distB="0" distL="114300" distR="114300" simplePos="0" relativeHeight="251676672" behindDoc="0" locked="0" layoutInCell="1" allowOverlap="1">
                      <wp:simplePos x="0" y="0"/>
                      <wp:positionH relativeFrom="column">
                        <wp:posOffset>2893695</wp:posOffset>
                      </wp:positionH>
                      <wp:positionV relativeFrom="paragraph">
                        <wp:posOffset>1169670</wp:posOffset>
                      </wp:positionV>
                      <wp:extent cx="467360" cy="271780"/>
                      <wp:effectExtent l="0" t="0" r="0" b="0"/>
                      <wp:wrapNone/>
                      <wp:docPr id="31" name="文本框 31"/>
                      <wp:cNvGraphicFramePr/>
                      <a:graphic xmlns:a="http://schemas.openxmlformats.org/drawingml/2006/main">
                        <a:graphicData uri="http://schemas.microsoft.com/office/word/2010/wordprocessingShape">
                          <wps:wsp>
                            <wps:cNvSpPr txBox="1"/>
                            <wps:spPr>
                              <a:xfrm rot="19860000">
                                <a:off x="0" y="0"/>
                                <a:ext cx="467360" cy="2717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b/>
                                      <w:bCs/>
                                      <w:color w:val="000000" w:themeColor="text1"/>
                                      <w:sz w:val="16"/>
                                      <w:szCs w:val="18"/>
                                      <w:lang w:val="en-US" w:eastAsia="zh-CN"/>
                                      <w14:textFill>
                                        <w14:solidFill>
                                          <w14:schemeClr w14:val="tx1"/>
                                        </w14:solidFill>
                                      </w14:textFill>
                                    </w:rPr>
                                  </w:pPr>
                                  <w:r>
                                    <w:rPr>
                                      <w:rFonts w:hint="eastAsia"/>
                                      <w:b/>
                                      <w:bCs/>
                                      <w:color w:val="000000" w:themeColor="text1"/>
                                      <w:sz w:val="16"/>
                                      <w:szCs w:val="18"/>
                                      <w:lang w:val="en-US" w:eastAsia="zh-CN"/>
                                      <w14:textFill>
                                        <w14:solidFill>
                                          <w14:schemeClr w14:val="tx1"/>
                                        </w14:solidFill>
                                      </w14:textFill>
                                    </w:rPr>
                                    <w:t>50m</w:t>
                                  </w:r>
                                </w:p>
                                <w:p>
                                  <w:pPr>
                                    <w:pStyle w:val="10"/>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7.85pt;margin-top:92.1pt;height:21.4pt;width:36.8pt;rotation:-1900544f;z-index:251676672;mso-width-relative:page;mso-height-relative:page;" filled="f" stroked="f" coordsize="21600,21600" o:gfxdata="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GfxPoNsAAAALAQAADwAAAAAAAAAB&#10;ACAAAAAiAAAAZHJzL2Rvd25yZXYueG1sUEsBAhQAFAAAAAgAh07iQMjcJBtGAgAAdgQAAA4AAAAA&#10;AAAAAQAgAAAAKgEAAGRycy9lMm9Eb2MueG1sUEsFBgAAAAAGAAYAWQEAAOIFAAAAAA==&#10;">
                      <v:fill on="f" focussize="0,0"/>
                      <v:stroke on="f" weight="0.5pt"/>
                      <v:imagedata o:title=""/>
                      <o:lock v:ext="edit" aspectratio="f"/>
                      <v:textbox>
                        <w:txbxContent>
                          <w:p>
                            <w:pPr>
                              <w:rPr>
                                <w:rFonts w:hint="eastAsia"/>
                                <w:b/>
                                <w:bCs/>
                                <w:color w:val="000000" w:themeColor="text1"/>
                                <w:sz w:val="16"/>
                                <w:szCs w:val="18"/>
                                <w:lang w:val="en-US" w:eastAsia="zh-CN"/>
                                <w14:textFill>
                                  <w14:solidFill>
                                    <w14:schemeClr w14:val="tx1"/>
                                  </w14:solidFill>
                                </w14:textFill>
                              </w:rPr>
                            </w:pPr>
                            <w:r>
                              <w:rPr>
                                <w:rFonts w:hint="eastAsia"/>
                                <w:b/>
                                <w:bCs/>
                                <w:color w:val="000000" w:themeColor="text1"/>
                                <w:sz w:val="16"/>
                                <w:szCs w:val="18"/>
                                <w:lang w:val="en-US" w:eastAsia="zh-CN"/>
                                <w14:textFill>
                                  <w14:solidFill>
                                    <w14:schemeClr w14:val="tx1"/>
                                  </w14:solidFill>
                                </w14:textFill>
                              </w:rPr>
                              <w:t>50m</w:t>
                            </w:r>
                          </w:p>
                          <w:p>
                            <w:pPr>
                              <w:pStyle w:val="10"/>
                              <w:rPr>
                                <w:rFonts w:hint="default"/>
                                <w:lang w:val="en-US" w:eastAsia="zh-CN"/>
                              </w:rPr>
                            </w:pPr>
                          </w:p>
                        </w:txbxContent>
                      </v:textbox>
                    </v:shape>
                  </w:pict>
                </mc:Fallback>
              </mc:AlternateContent>
            </w:r>
            <w:r>
              <w:drawing>
                <wp:inline distT="0" distB="0" distL="114300" distR="114300">
                  <wp:extent cx="5124450" cy="3804920"/>
                  <wp:effectExtent l="9525" t="9525" r="9525" b="14605"/>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8"/>
                          <a:stretch>
                            <a:fillRect/>
                          </a:stretch>
                        </pic:blipFill>
                        <pic:spPr>
                          <a:xfrm>
                            <a:off x="0" y="0"/>
                            <a:ext cx="5124450" cy="3804920"/>
                          </a:xfrm>
                          <a:prstGeom prst="rect">
                            <a:avLst/>
                          </a:prstGeom>
                          <a:noFill/>
                          <a:ln>
                            <a:solidFill>
                              <a:srgbClr val="002060"/>
                            </a:solidFill>
                          </a:ln>
                        </pic:spPr>
                      </pic:pic>
                    </a:graphicData>
                  </a:graphic>
                </wp:inline>
              </w:drawing>
            </w:r>
            <w:r>
              <w:rPr>
                <w:color w:val="auto"/>
              </w:rPr>
              <mc:AlternateContent>
                <mc:Choice Requires="wps">
                  <w:drawing>
                    <wp:anchor distT="0" distB="0" distL="114300" distR="114300" simplePos="0" relativeHeight="251675648" behindDoc="0" locked="0" layoutInCell="1" allowOverlap="1">
                      <wp:simplePos x="0" y="0"/>
                      <wp:positionH relativeFrom="column">
                        <wp:posOffset>2714625</wp:posOffset>
                      </wp:positionH>
                      <wp:positionV relativeFrom="paragraph">
                        <wp:posOffset>1149350</wp:posOffset>
                      </wp:positionV>
                      <wp:extent cx="636905" cy="328295"/>
                      <wp:effectExtent l="0" t="0" r="10795" b="14605"/>
                      <wp:wrapNone/>
                      <wp:docPr id="10" name="直线 67"/>
                      <wp:cNvGraphicFramePr/>
                      <a:graphic xmlns:a="http://schemas.openxmlformats.org/drawingml/2006/main">
                        <a:graphicData uri="http://schemas.microsoft.com/office/word/2010/wordprocessingShape">
                          <wps:wsp>
                            <wps:cNvCnPr/>
                            <wps:spPr>
                              <a:xfrm flipV="1">
                                <a:off x="0" y="0"/>
                                <a:ext cx="636905" cy="328295"/>
                              </a:xfrm>
                              <a:prstGeom prst="line">
                                <a:avLst/>
                              </a:prstGeom>
                              <a:ln w="6350" cap="flat" cmpd="sng">
                                <a:solidFill>
                                  <a:schemeClr val="tx1"/>
                                </a:solidFill>
                                <a:prstDash val="solid"/>
                                <a:headEnd type="triangle" w="sm" len="sm"/>
                                <a:tailEnd type="triangle" w="sm" len="sm"/>
                              </a:ln>
                            </wps:spPr>
                            <wps:bodyPr upright="1"/>
                          </wps:wsp>
                        </a:graphicData>
                      </a:graphic>
                    </wp:anchor>
                  </w:drawing>
                </mc:Choice>
                <mc:Fallback>
                  <w:pict>
                    <v:line id="直线 67" o:spid="_x0000_s1026" o:spt="20" style="position:absolute;left:0pt;flip:y;margin-left:213.75pt;margin-top:90.5pt;height:25.85pt;width:50.15pt;z-index:251675648;mso-width-relative:page;mso-height-relative:page;" filled="f" stroked="t" coordsize="21600,21600" o:gfxdata="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306479cAAAALAQAADwAAAAAAAAABACAAAAAiAAAAZHJzL2Rvd25yZXYueG1sUEsBAhQA&#10;FAAAAAgAh07iQF1bBPbzAQAA7wMAAA4AAAAAAAAAAQAgAAAAJgEAAGRycy9lMm9Eb2MueG1sUEsF&#10;BgAAAAAGAAYAWQEAAIsFAAAAAA==&#10;">
                      <v:fill on="f" focussize="0,0"/>
                      <v:stroke weight="0.5pt" color="#000000 [3213]" joinstyle="round" startarrow="block" startarrowwidth="narrow" startarrowlength="short" endarrow="block" endarrowwidth="narrow" endarrowlength="short"/>
                      <v:imagedata o:title=""/>
                      <o:lock v:ext="edit" aspectratio="f"/>
                    </v:line>
                  </w:pict>
                </mc:Fallback>
              </mc:AlternateContent>
            </w:r>
            <w:r>
              <w:rPr>
                <w:color w:val="auto"/>
              </w:rPr>
              <mc:AlternateContent>
                <mc:Choice Requires="wps">
                  <w:drawing>
                    <wp:anchor distT="0" distB="0" distL="114300" distR="114300" simplePos="0" relativeHeight="251674624" behindDoc="0" locked="0" layoutInCell="1" allowOverlap="1">
                      <wp:simplePos x="0" y="0"/>
                      <wp:positionH relativeFrom="column">
                        <wp:posOffset>1791335</wp:posOffset>
                      </wp:positionH>
                      <wp:positionV relativeFrom="paragraph">
                        <wp:posOffset>763270</wp:posOffset>
                      </wp:positionV>
                      <wp:extent cx="1556385" cy="1613535"/>
                      <wp:effectExtent l="34290" t="42545" r="47625" b="58420"/>
                      <wp:wrapNone/>
                      <wp:docPr id="16" name="自选图形 65"/>
                      <wp:cNvGraphicFramePr/>
                      <a:graphic xmlns:a="http://schemas.openxmlformats.org/drawingml/2006/main">
                        <a:graphicData uri="http://schemas.microsoft.com/office/word/2010/wordprocessingShape">
                          <wps:wsp>
                            <wps:cNvSpPr/>
                            <wps:spPr>
                              <a:xfrm rot="17100000">
                                <a:off x="0" y="0"/>
                                <a:ext cx="1556385" cy="1613535"/>
                              </a:xfrm>
                              <a:prstGeom prst="roundRect">
                                <a:avLst>
                                  <a:gd name="adj" fmla="val 41330"/>
                                </a:avLst>
                              </a:prstGeom>
                              <a:noFill/>
                              <a:ln w="9525" cap="rnd" cmpd="sng">
                                <a:solidFill>
                                  <a:srgbClr val="FF0000"/>
                                </a:solidFill>
                                <a:prstDash val="dash"/>
                                <a:round/>
                                <a:headEnd type="none" w="med" len="med"/>
                                <a:tailEnd type="none" w="med" len="med"/>
                              </a:ln>
                            </wps:spPr>
                            <wps:bodyPr wrap="square" upright="1"/>
                          </wps:wsp>
                        </a:graphicData>
                      </a:graphic>
                    </wp:anchor>
                  </w:drawing>
                </mc:Choice>
                <mc:Fallback>
                  <w:pict>
                    <v:roundrect id="自选图形 65" o:spid="_x0000_s1026" o:spt="2" style="position:absolute;left:0pt;margin-left:141.05pt;margin-top:60.1pt;height:127.05pt;width:122.55pt;rotation:-4915200f;z-index:251674624;mso-width-relative:page;mso-height-relative:page;" filled="f" stroked="t" coordsize="21600,21600" arcsize="0.413287037037037" o:gfxdata="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tWJ8atwAAAALAQAADwAAAAAAAAABACAAAAAiAAAAZHJzL2Rvd25yZXYu&#10;eG1sUEsBAhQAFAAAAAgAh07iQIKT6T4wAgAASgQAAA4AAAAAAAAAAQAgAAAAKwEAAGRycy9lMm9E&#10;b2MueG1sUEsFBgAAAAAGAAYAWQEAAM0FAAAAAA==&#10;">
                      <v:fill on="f" focussize="0,0"/>
                      <v:stroke color="#FF0000" joinstyle="round" dashstyle="dash" endcap="round"/>
                      <v:imagedata o:title=""/>
                      <o:lock v:ext="edit" aspectratio="f"/>
                    </v:roundrect>
                  </w:pict>
                </mc:Fallback>
              </mc:AlternateContent>
            </w:r>
            <w:r>
              <w:rPr>
                <w:color w:val="auto"/>
              </w:rPr>
              <mc:AlternateContent>
                <mc:Choice Requires="wps">
                  <w:drawing>
                    <wp:anchor distT="0" distB="0" distL="114300" distR="114300" simplePos="0" relativeHeight="251667456" behindDoc="0" locked="0" layoutInCell="1" allowOverlap="1">
                      <wp:simplePos x="0" y="0"/>
                      <wp:positionH relativeFrom="column">
                        <wp:posOffset>2445385</wp:posOffset>
                      </wp:positionH>
                      <wp:positionV relativeFrom="paragraph">
                        <wp:posOffset>1405890</wp:posOffset>
                      </wp:positionV>
                      <wp:extent cx="185420" cy="272415"/>
                      <wp:effectExtent l="24765" t="36195" r="26670" b="45085"/>
                      <wp:wrapNone/>
                      <wp:docPr id="11" name="矩形 64"/>
                      <wp:cNvGraphicFramePr/>
                      <a:graphic xmlns:a="http://schemas.openxmlformats.org/drawingml/2006/main">
                        <a:graphicData uri="http://schemas.microsoft.com/office/word/2010/wordprocessingShape">
                          <wps:wsp>
                            <wps:cNvSpPr/>
                            <wps:spPr>
                              <a:xfrm rot="17040000">
                                <a:off x="0" y="0"/>
                                <a:ext cx="185420" cy="272415"/>
                              </a:xfrm>
                              <a:prstGeom prst="rect">
                                <a:avLst/>
                              </a:prstGeom>
                              <a:solidFill>
                                <a:srgbClr val="D6DCE5"/>
                              </a:solidFill>
                              <a:ln w="9525" cap="flat" cmpd="sng">
                                <a:solidFill>
                                  <a:srgbClr val="FF0000"/>
                                </a:solidFill>
                                <a:prstDash val="solid"/>
                                <a:miter/>
                                <a:headEnd type="none" w="med" len="med"/>
                                <a:tailEnd type="none" w="med" len="med"/>
                              </a:ln>
                            </wps:spPr>
                            <wps:bodyPr wrap="square" upright="1"/>
                          </wps:wsp>
                        </a:graphicData>
                      </a:graphic>
                    </wp:anchor>
                  </w:drawing>
                </mc:Choice>
                <mc:Fallback>
                  <w:pict>
                    <v:rect id="矩形 64" o:spid="_x0000_s1026" o:spt="1" style="position:absolute;left:0pt;margin-left:192.55pt;margin-top:110.7pt;height:21.45pt;width:14.6pt;rotation:-4980736f;z-index:251667456;mso-width-relative:page;mso-height-relative:page;" fillcolor="#D6DCE5" filled="t" stroked="t" coordsize="21600,21600" o:gfxdata="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rP7eodoAAAALAQAADwAA&#10;AAAAAAABACAAAAAiAAAAZHJzL2Rvd25yZXYueG1sUEsBAhQAFAAAAAgAh07iQIcwi3EUAgAAPAQA&#10;AA4AAAAAAAAAAQAgAAAAKQEAAGRycy9lMm9Eb2MueG1sUEsFBgAAAAAGAAYAWQEAAK8FAAAAAA==&#10;">
                      <v:fill on="t" focussize="0,0"/>
                      <v:stroke color="#FF0000" joinstyle="miter"/>
                      <v:imagedata o:title=""/>
                      <o:lock v:ext="edit" aspectratio="f"/>
                    </v:rect>
                  </w:pict>
                </mc:Fallback>
              </mc:AlternateContent>
            </w:r>
            <w:r>
              <w:rPr>
                <w:color w:val="auto"/>
                <w:sz w:val="24"/>
              </w:rPr>
              <mc:AlternateContent>
                <mc:Choice Requires="wps">
                  <w:drawing>
                    <wp:anchor distT="0" distB="0" distL="114300" distR="114300" simplePos="0" relativeHeight="251670528" behindDoc="0" locked="0" layoutInCell="1" allowOverlap="1">
                      <wp:simplePos x="0" y="0"/>
                      <wp:positionH relativeFrom="column">
                        <wp:posOffset>1620520</wp:posOffset>
                      </wp:positionH>
                      <wp:positionV relativeFrom="paragraph">
                        <wp:posOffset>624840</wp:posOffset>
                      </wp:positionV>
                      <wp:extent cx="914400" cy="470535"/>
                      <wp:effectExtent l="0" t="0" r="0" b="0"/>
                      <wp:wrapNone/>
                      <wp:docPr id="25" name="文本框 25"/>
                      <wp:cNvGraphicFramePr/>
                      <a:graphic xmlns:a="http://schemas.openxmlformats.org/drawingml/2006/main">
                        <a:graphicData uri="http://schemas.microsoft.com/office/word/2010/wordprocessingShape">
                          <wps:wsp>
                            <wps:cNvSpPr txBox="1"/>
                            <wps:spPr>
                              <a:xfrm rot="900000">
                                <a:off x="3641725" y="5283200"/>
                                <a:ext cx="914400" cy="4705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b/>
                                      <w:bCs/>
                                      <w:color w:val="0000FF"/>
                                      <w:lang w:val="en-US" w:eastAsia="zh-CN"/>
                                    </w:rPr>
                                  </w:pPr>
                                  <w:r>
                                    <w:rPr>
                                      <w:rFonts w:hint="eastAsia"/>
                                      <w:b/>
                                      <w:bCs/>
                                      <w:color w:val="0000FF"/>
                                      <w:lang w:val="en-US" w:eastAsia="zh-CN"/>
                                    </w:rPr>
                                    <w:t>工业园</w:t>
                                  </w:r>
                                  <w:r>
                                    <w:rPr>
                                      <w:rFonts w:hint="default"/>
                                      <w:b/>
                                      <w:bCs/>
                                      <w:color w:val="0000FF"/>
                                      <w:lang w:val="en-US" w:eastAsia="zh-CN"/>
                                    </w:rPr>
                                    <w:t>厂房</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7.6pt;margin-top:49.2pt;height:37.05pt;width:72pt;rotation:983040f;z-index:251670528;mso-width-relative:page;mso-height-relative:page;" filled="f" stroked="f" coordsize="21600,21600" o:gfxdata="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YCGiXtsAAAAKAQAADwAA&#10;AAAAAAABACAAAAAiAAAAZHJzL2Rvd25yZXYueG1sUEsBAhQAFAAAAAgAh07iQBJ6qbtMAgAAgAQA&#10;AA4AAAAAAAAAAQAgAAAAKgEAAGRycy9lMm9Eb2MueG1sUEsFBgAAAAAGAAYAWQEAAOgFAAAAAA==&#10;">
                      <v:fill on="f" focussize="0,0"/>
                      <v:stroke on="f" weight="0.5pt"/>
                      <v:imagedata o:title=""/>
                      <o:lock v:ext="edit" aspectratio="f"/>
                      <v:textbox>
                        <w:txbxContent>
                          <w:p>
                            <w:pPr>
                              <w:rPr>
                                <w:rFonts w:hint="default" w:eastAsia="宋体"/>
                                <w:b/>
                                <w:bCs/>
                                <w:color w:val="0000FF"/>
                                <w:lang w:val="en-US" w:eastAsia="zh-CN"/>
                              </w:rPr>
                            </w:pPr>
                            <w:r>
                              <w:rPr>
                                <w:rFonts w:hint="eastAsia"/>
                                <w:b/>
                                <w:bCs/>
                                <w:color w:val="0000FF"/>
                                <w:lang w:val="en-US" w:eastAsia="zh-CN"/>
                              </w:rPr>
                              <w:t>工业园</w:t>
                            </w:r>
                            <w:r>
                              <w:rPr>
                                <w:rFonts w:hint="default"/>
                                <w:b/>
                                <w:bCs/>
                                <w:color w:val="0000FF"/>
                                <w:lang w:val="en-US" w:eastAsia="zh-CN"/>
                              </w:rPr>
                              <w:t>厂房</w:t>
                            </w:r>
                          </w:p>
                        </w:txbxContent>
                      </v:textbox>
                    </v:shape>
                  </w:pict>
                </mc:Fallback>
              </mc:AlternateContent>
            </w:r>
            <w:r>
              <w:rPr>
                <w:color w:val="auto"/>
                <w:sz w:val="24"/>
              </w:rPr>
              <mc:AlternateContent>
                <mc:Choice Requires="wps">
                  <w:drawing>
                    <wp:anchor distT="0" distB="0" distL="114300" distR="114300" simplePos="0" relativeHeight="251673600" behindDoc="0" locked="0" layoutInCell="1" allowOverlap="1">
                      <wp:simplePos x="0" y="0"/>
                      <wp:positionH relativeFrom="column">
                        <wp:posOffset>1564640</wp:posOffset>
                      </wp:positionH>
                      <wp:positionV relativeFrom="paragraph">
                        <wp:posOffset>561340</wp:posOffset>
                      </wp:positionV>
                      <wp:extent cx="1612900" cy="390525"/>
                      <wp:effectExtent l="36195" t="189230" r="46355" b="201295"/>
                      <wp:wrapNone/>
                      <wp:docPr id="30" name="矩形 30"/>
                      <wp:cNvGraphicFramePr/>
                      <a:graphic xmlns:a="http://schemas.openxmlformats.org/drawingml/2006/main">
                        <a:graphicData uri="http://schemas.microsoft.com/office/word/2010/wordprocessingShape">
                          <wps:wsp>
                            <wps:cNvSpPr/>
                            <wps:spPr>
                              <a:xfrm rot="780000">
                                <a:off x="0" y="0"/>
                                <a:ext cx="1612900" cy="390525"/>
                              </a:xfrm>
                              <a:prstGeom prst="rect">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3.2pt;margin-top:44.2pt;height:30.75pt;width:127pt;rotation:851968f;z-index:251673600;v-text-anchor:middle;mso-width-relative:page;mso-height-relative:page;" filled="f" stroked="t" coordsize="21600,21600" o:gfxdata="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JAkCwNcAAAAKAQAADwAAAAAAAAABACAAAAAiAAAAZHJzL2Rvd25yZXYueG1sUEsBAhQA&#10;FAAAAAgAh07iQDdXvvJlAgAAwwQAAA4AAAAAAAAAAQAgAAAAJgEAAGRycy9lMm9Eb2MueG1sUEsF&#10;BgAAAAAGAAYAWQEAAP0FAAAAAA==&#10;">
                      <v:fill on="f" focussize="0,0"/>
                      <v:stroke weight="2pt" color="#FFFF00 [3204]" joinstyle="round"/>
                      <v:imagedata o:title=""/>
                      <o:lock v:ext="edit" aspectratio="f"/>
                    </v:rect>
                  </w:pict>
                </mc:Fallback>
              </mc:AlternateContent>
            </w:r>
          </w:p>
          <w:p>
            <w:pPr>
              <w:pStyle w:val="49"/>
              <w:rPr>
                <w:color w:val="auto"/>
              </w:rPr>
            </w:pPr>
            <w:r>
              <w:rPr>
                <w:rFonts w:hint="eastAsia"/>
                <w:color w:val="auto"/>
              </w:rPr>
              <w:t>图7-1评价范围及周边环境示意图</w:t>
            </w:r>
          </w:p>
          <w:p>
            <w:pPr>
              <w:pStyle w:val="45"/>
              <w:spacing w:before="156" w:after="156"/>
              <w:rPr>
                <w:color w:val="auto"/>
              </w:rPr>
            </w:pPr>
            <w:r>
              <w:rPr>
                <w:rFonts w:hint="eastAsia"/>
                <w:color w:val="auto"/>
              </w:rPr>
              <w:t>7.2环境保护目标</w:t>
            </w:r>
          </w:p>
          <w:p>
            <w:pPr>
              <w:pStyle w:val="47"/>
              <w:rPr>
                <w:b w:val="0"/>
                <w:bCs w:val="0"/>
                <w:color w:val="auto"/>
              </w:rPr>
            </w:pPr>
            <w:r>
              <w:rPr>
                <w:rFonts w:hint="eastAsia"/>
                <w:color w:val="auto"/>
              </w:rPr>
              <w:t>本项目位于</w:t>
            </w:r>
            <w:r>
              <w:rPr>
                <w:rFonts w:hint="eastAsia"/>
                <w:color w:val="auto"/>
                <w:lang w:eastAsia="zh-CN"/>
              </w:rPr>
              <w:t>长沙赛恩斯环保工程技术有限公司</w:t>
            </w:r>
            <w:r>
              <w:rPr>
                <w:rFonts w:hint="eastAsia" w:ascii="宋体" w:hAnsi="宋体"/>
                <w:b w:val="0"/>
                <w:bCs w:val="0"/>
                <w:color w:val="auto"/>
              </w:rPr>
              <w:t>厂区</w:t>
            </w:r>
            <w:r>
              <w:rPr>
                <w:rFonts w:hint="eastAsia"/>
                <w:b w:val="0"/>
                <w:bCs w:val="0"/>
                <w:color w:val="auto"/>
              </w:rPr>
              <w:t>内</w:t>
            </w:r>
            <w:r>
              <w:rPr>
                <w:rFonts w:hint="eastAsia"/>
                <w:b w:val="0"/>
                <w:bCs w:val="0"/>
                <w:color w:val="auto"/>
                <w:lang w:val="en-US" w:eastAsia="zh-CN"/>
              </w:rPr>
              <w:t>，探伤室所在的成套设备生产车间为单层，探伤室顶内无人员可到达</w:t>
            </w:r>
            <w:r>
              <w:rPr>
                <w:rFonts w:hint="eastAsia"/>
                <w:b w:val="0"/>
                <w:bCs w:val="0"/>
                <w:color w:val="auto"/>
                <w:lang w:eastAsia="zh-CN"/>
              </w:rPr>
              <w:t>，</w:t>
            </w:r>
            <w:r>
              <w:rPr>
                <w:rFonts w:hint="eastAsia"/>
                <w:b w:val="0"/>
                <w:bCs w:val="0"/>
                <w:color w:val="auto"/>
              </w:rPr>
              <w:t>评价范围内</w:t>
            </w:r>
            <w:r>
              <w:rPr>
                <w:b w:val="0"/>
                <w:bCs w:val="0"/>
                <w:color w:val="auto"/>
              </w:rPr>
              <w:t>主要环保目标见表</w:t>
            </w:r>
            <w:r>
              <w:rPr>
                <w:rFonts w:hint="eastAsia"/>
                <w:b w:val="0"/>
                <w:bCs w:val="0"/>
                <w:color w:val="auto"/>
              </w:rPr>
              <w:t>7-1，厂区内环保目标区域分部情况见附图5。</w:t>
            </w:r>
          </w:p>
          <w:p>
            <w:pPr>
              <w:pStyle w:val="49"/>
              <w:rPr>
                <w:color w:val="auto"/>
              </w:rPr>
            </w:pPr>
            <w:r>
              <w:rPr>
                <w:rFonts w:hint="eastAsia"/>
                <w:color w:val="auto"/>
              </w:rPr>
              <w:t>表7-1环境保护目标一览表</w:t>
            </w:r>
          </w:p>
          <w:tbl>
            <w:tblPr>
              <w:tblStyle w:val="2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1"/>
              <w:gridCol w:w="1418"/>
              <w:gridCol w:w="1369"/>
              <w:gridCol w:w="915"/>
              <w:gridCol w:w="1717"/>
              <w:gridCol w:w="20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1" w:type="dxa"/>
                  <w:noWrap w:val="0"/>
                  <w:vAlign w:val="center"/>
                </w:tcPr>
                <w:p>
                  <w:pPr>
                    <w:pStyle w:val="53"/>
                    <w:rPr>
                      <w:color w:val="auto"/>
                      <w:u w:val="single"/>
                    </w:rPr>
                  </w:pPr>
                  <w:r>
                    <w:rPr>
                      <w:rFonts w:hint="eastAsia"/>
                      <w:color w:val="auto"/>
                      <w:u w:val="single"/>
                    </w:rPr>
                    <w:t>序号</w:t>
                  </w:r>
                </w:p>
              </w:tc>
              <w:tc>
                <w:tcPr>
                  <w:tcW w:w="1418" w:type="dxa"/>
                  <w:noWrap w:val="0"/>
                  <w:vAlign w:val="center"/>
                </w:tcPr>
                <w:p>
                  <w:pPr>
                    <w:pStyle w:val="53"/>
                    <w:rPr>
                      <w:color w:val="auto"/>
                      <w:u w:val="single"/>
                    </w:rPr>
                  </w:pPr>
                  <w:r>
                    <w:rPr>
                      <w:rFonts w:hint="eastAsia"/>
                      <w:color w:val="auto"/>
                      <w:u w:val="single"/>
                    </w:rPr>
                    <w:t>场所</w:t>
                  </w:r>
                </w:p>
              </w:tc>
              <w:tc>
                <w:tcPr>
                  <w:tcW w:w="1369" w:type="dxa"/>
                  <w:noWrap w:val="0"/>
                  <w:vAlign w:val="center"/>
                </w:tcPr>
                <w:p>
                  <w:pPr>
                    <w:pStyle w:val="53"/>
                    <w:rPr>
                      <w:color w:val="auto"/>
                      <w:u w:val="single"/>
                    </w:rPr>
                  </w:pPr>
                  <w:r>
                    <w:rPr>
                      <w:rFonts w:hint="eastAsia"/>
                      <w:color w:val="auto"/>
                      <w:u w:val="single"/>
                    </w:rPr>
                    <w:t>保护目标</w:t>
                  </w:r>
                </w:p>
              </w:tc>
              <w:tc>
                <w:tcPr>
                  <w:tcW w:w="915" w:type="dxa"/>
                  <w:noWrap w:val="0"/>
                  <w:vAlign w:val="center"/>
                </w:tcPr>
                <w:p>
                  <w:pPr>
                    <w:pStyle w:val="53"/>
                    <w:rPr>
                      <w:rFonts w:hint="default"/>
                      <w:color w:val="auto"/>
                      <w:u w:val="single"/>
                      <w:lang w:val="en-US" w:eastAsia="zh-CN"/>
                    </w:rPr>
                  </w:pPr>
                  <w:r>
                    <w:rPr>
                      <w:rFonts w:hint="eastAsia"/>
                      <w:color w:val="auto"/>
                      <w:u w:val="single"/>
                      <w:lang w:val="en-US" w:eastAsia="zh-CN"/>
                    </w:rPr>
                    <w:t>方位</w:t>
                  </w:r>
                </w:p>
              </w:tc>
              <w:tc>
                <w:tcPr>
                  <w:tcW w:w="1717" w:type="dxa"/>
                  <w:noWrap w:val="0"/>
                  <w:vAlign w:val="center"/>
                </w:tcPr>
                <w:p>
                  <w:pPr>
                    <w:pStyle w:val="53"/>
                    <w:rPr>
                      <w:rFonts w:hint="default"/>
                      <w:color w:val="auto"/>
                      <w:u w:val="single"/>
                      <w:lang w:val="en-US" w:eastAsia="zh-CN"/>
                    </w:rPr>
                  </w:pPr>
                  <w:r>
                    <w:rPr>
                      <w:rFonts w:hint="eastAsia"/>
                      <w:color w:val="auto"/>
                      <w:u w:val="single"/>
                      <w:lang w:val="en-US" w:eastAsia="zh-CN"/>
                    </w:rPr>
                    <w:t>距离探伤室（m）</w:t>
                  </w:r>
                </w:p>
              </w:tc>
              <w:tc>
                <w:tcPr>
                  <w:tcW w:w="2010" w:type="dxa"/>
                  <w:noWrap w:val="0"/>
                  <w:vAlign w:val="center"/>
                </w:tcPr>
                <w:p>
                  <w:pPr>
                    <w:pStyle w:val="53"/>
                    <w:ind w:firstLine="0" w:firstLineChars="0"/>
                    <w:rPr>
                      <w:rFonts w:hint="default" w:ascii="Times New Roman" w:hAnsi="Times New Roman" w:eastAsia="宋体" w:cs="Times New Roman"/>
                      <w:b w:val="0"/>
                      <w:color w:val="auto"/>
                      <w:kern w:val="2"/>
                      <w:sz w:val="21"/>
                      <w:szCs w:val="21"/>
                      <w:u w:val="single"/>
                      <w:lang w:val="en-US" w:eastAsia="zh-CN" w:bidi="ar-SA"/>
                    </w:rPr>
                  </w:pPr>
                  <w:r>
                    <w:rPr>
                      <w:rFonts w:hint="eastAsia"/>
                      <w:color w:val="auto"/>
                      <w:u w:val="single"/>
                      <w:lang w:val="en-US" w:eastAsia="zh-CN"/>
                    </w:rPr>
                    <w:t>距离出束点最近距离（m）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1" w:type="dxa"/>
                  <w:noWrap w:val="0"/>
                  <w:vAlign w:val="center"/>
                </w:tcPr>
                <w:p>
                  <w:pPr>
                    <w:pStyle w:val="53"/>
                    <w:rPr>
                      <w:color w:val="auto"/>
                      <w:u w:val="single"/>
                    </w:rPr>
                  </w:pPr>
                  <w:r>
                    <w:rPr>
                      <w:rFonts w:hint="eastAsia"/>
                      <w:color w:val="auto"/>
                      <w:u w:val="single"/>
                    </w:rPr>
                    <w:t>1</w:t>
                  </w:r>
                </w:p>
              </w:tc>
              <w:tc>
                <w:tcPr>
                  <w:tcW w:w="1418" w:type="dxa"/>
                  <w:noWrap w:val="0"/>
                  <w:vAlign w:val="center"/>
                </w:tcPr>
                <w:p>
                  <w:pPr>
                    <w:pStyle w:val="53"/>
                    <w:rPr>
                      <w:rFonts w:hint="default" w:eastAsia="宋体"/>
                      <w:color w:val="auto"/>
                      <w:u w:val="single"/>
                      <w:lang w:val="en-US" w:eastAsia="zh-CN"/>
                    </w:rPr>
                  </w:pPr>
                  <w:r>
                    <w:rPr>
                      <w:rFonts w:hint="eastAsia"/>
                      <w:color w:val="auto"/>
                      <w:u w:val="single"/>
                    </w:rPr>
                    <w:t>控制室</w:t>
                  </w:r>
                  <w:r>
                    <w:rPr>
                      <w:rFonts w:hint="eastAsia"/>
                      <w:color w:val="auto"/>
                      <w:u w:val="single"/>
                      <w:lang w:val="en-US" w:eastAsia="zh-CN"/>
                    </w:rPr>
                    <w:t>和暗示</w:t>
                  </w:r>
                </w:p>
              </w:tc>
              <w:tc>
                <w:tcPr>
                  <w:tcW w:w="1369" w:type="dxa"/>
                  <w:noWrap w:val="0"/>
                  <w:vAlign w:val="center"/>
                </w:tcPr>
                <w:p>
                  <w:pPr>
                    <w:pStyle w:val="53"/>
                    <w:rPr>
                      <w:color w:val="auto"/>
                      <w:u w:val="single"/>
                    </w:rPr>
                  </w:pPr>
                  <w:r>
                    <w:rPr>
                      <w:rFonts w:hint="eastAsia"/>
                      <w:color w:val="auto"/>
                      <w:u w:val="single"/>
                    </w:rPr>
                    <w:t>辐射工作人员</w:t>
                  </w:r>
                  <w:r>
                    <w:rPr>
                      <w:rFonts w:hint="eastAsia"/>
                      <w:color w:val="auto"/>
                      <w:u w:val="single"/>
                      <w:lang w:val="en-US" w:eastAsia="zh-CN"/>
                    </w:rPr>
                    <w:t>2</w:t>
                  </w:r>
                  <w:r>
                    <w:rPr>
                      <w:rFonts w:hint="eastAsia"/>
                      <w:color w:val="auto"/>
                      <w:u w:val="single"/>
                    </w:rPr>
                    <w:t>人</w:t>
                  </w:r>
                </w:p>
              </w:tc>
              <w:tc>
                <w:tcPr>
                  <w:tcW w:w="915" w:type="dxa"/>
                  <w:noWrap w:val="0"/>
                  <w:vAlign w:val="center"/>
                </w:tcPr>
                <w:p>
                  <w:pPr>
                    <w:pStyle w:val="53"/>
                    <w:rPr>
                      <w:rFonts w:hint="eastAsia" w:eastAsia="宋体"/>
                      <w:color w:val="auto"/>
                      <w:u w:val="single"/>
                      <w:lang w:val="en-US" w:eastAsia="zh-CN"/>
                    </w:rPr>
                  </w:pPr>
                  <w:r>
                    <w:rPr>
                      <w:rFonts w:hint="eastAsia"/>
                      <w:color w:val="auto"/>
                      <w:u w:val="single"/>
                      <w:lang w:val="en-US" w:eastAsia="zh-CN"/>
                    </w:rPr>
                    <w:t>南</w:t>
                  </w:r>
                </w:p>
              </w:tc>
              <w:tc>
                <w:tcPr>
                  <w:tcW w:w="1717" w:type="dxa"/>
                  <w:noWrap w:val="0"/>
                  <w:vAlign w:val="center"/>
                </w:tcPr>
                <w:p>
                  <w:pPr>
                    <w:pStyle w:val="53"/>
                    <w:rPr>
                      <w:rFonts w:hint="eastAsia" w:eastAsia="宋体"/>
                      <w:color w:val="auto"/>
                      <w:u w:val="single"/>
                      <w:lang w:val="en-US" w:eastAsia="zh-CN"/>
                    </w:rPr>
                  </w:pPr>
                  <w:r>
                    <w:rPr>
                      <w:rFonts w:hint="eastAsia"/>
                      <w:color w:val="auto"/>
                      <w:u w:val="single"/>
                      <w:lang w:val="en-US" w:eastAsia="zh-CN"/>
                    </w:rPr>
                    <w:t>相邻</w:t>
                  </w:r>
                </w:p>
              </w:tc>
              <w:tc>
                <w:tcPr>
                  <w:tcW w:w="2010" w:type="dxa"/>
                  <w:noWrap w:val="0"/>
                  <w:vAlign w:val="center"/>
                </w:tcPr>
                <w:p>
                  <w:pPr>
                    <w:pStyle w:val="53"/>
                    <w:ind w:firstLine="0" w:firstLineChars="0"/>
                    <w:rPr>
                      <w:rFonts w:hint="default" w:ascii="Times New Roman" w:hAnsi="Times New Roman" w:eastAsia="宋体" w:cs="Times New Roman"/>
                      <w:b w:val="0"/>
                      <w:color w:val="auto"/>
                      <w:kern w:val="2"/>
                      <w:sz w:val="21"/>
                      <w:szCs w:val="21"/>
                      <w:u w:val="single"/>
                      <w:lang w:val="en-US" w:eastAsia="zh-CN" w:bidi="ar-SA"/>
                    </w:rPr>
                  </w:pPr>
                  <w:r>
                    <w:rPr>
                      <w:rFonts w:hint="eastAsia" w:cs="Times New Roman"/>
                      <w:b w:val="0"/>
                      <w:color w:val="auto"/>
                      <w:kern w:val="2"/>
                      <w:sz w:val="21"/>
                      <w:szCs w:val="21"/>
                      <w:u w:val="single"/>
                      <w:lang w:val="en-US" w:eastAsia="zh-CN" w:bidi="ar-SA"/>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1" w:type="dxa"/>
                  <w:noWrap w:val="0"/>
                  <w:vAlign w:val="center"/>
                </w:tcPr>
                <w:p>
                  <w:pPr>
                    <w:pStyle w:val="53"/>
                    <w:rPr>
                      <w:color w:val="auto"/>
                      <w:u w:val="single"/>
                    </w:rPr>
                  </w:pPr>
                  <w:r>
                    <w:rPr>
                      <w:rFonts w:hint="eastAsia"/>
                      <w:color w:val="auto"/>
                      <w:u w:val="single"/>
                    </w:rPr>
                    <w:t>2</w:t>
                  </w:r>
                </w:p>
              </w:tc>
              <w:tc>
                <w:tcPr>
                  <w:tcW w:w="1418" w:type="dxa"/>
                  <w:noWrap w:val="0"/>
                  <w:vAlign w:val="center"/>
                </w:tcPr>
                <w:p>
                  <w:pPr>
                    <w:pStyle w:val="53"/>
                    <w:rPr>
                      <w:rFonts w:hint="default" w:eastAsia="宋体"/>
                      <w:color w:val="auto"/>
                      <w:u w:val="single"/>
                      <w:lang w:val="en-US" w:eastAsia="zh-CN"/>
                    </w:rPr>
                  </w:pPr>
                  <w:r>
                    <w:rPr>
                      <w:rFonts w:hint="eastAsia"/>
                      <w:color w:val="auto"/>
                      <w:u w:val="single"/>
                      <w:lang w:val="en-US" w:eastAsia="zh-CN"/>
                    </w:rPr>
                    <w:t>成套设备生产车间</w:t>
                  </w:r>
                </w:p>
              </w:tc>
              <w:tc>
                <w:tcPr>
                  <w:tcW w:w="1369" w:type="dxa"/>
                  <w:vMerge w:val="restart"/>
                  <w:noWrap w:val="0"/>
                  <w:vAlign w:val="center"/>
                </w:tcPr>
                <w:p>
                  <w:pPr>
                    <w:pStyle w:val="53"/>
                    <w:rPr>
                      <w:rFonts w:hint="eastAsia" w:eastAsia="宋体"/>
                      <w:color w:val="auto"/>
                      <w:u w:val="single"/>
                      <w:lang w:eastAsia="zh-CN"/>
                    </w:rPr>
                  </w:pPr>
                  <w:r>
                    <w:rPr>
                      <w:rFonts w:hint="eastAsia"/>
                      <w:color w:val="auto"/>
                      <w:u w:val="single"/>
                      <w:lang w:val="en-US" w:eastAsia="zh-CN"/>
                    </w:rPr>
                    <w:t>公众</w:t>
                  </w:r>
                </w:p>
              </w:tc>
              <w:tc>
                <w:tcPr>
                  <w:tcW w:w="915" w:type="dxa"/>
                  <w:noWrap w:val="0"/>
                  <w:vAlign w:val="center"/>
                </w:tcPr>
                <w:p>
                  <w:pPr>
                    <w:pStyle w:val="53"/>
                    <w:rPr>
                      <w:rFonts w:hint="eastAsia" w:eastAsia="宋体"/>
                      <w:color w:val="auto"/>
                      <w:u w:val="single"/>
                      <w:lang w:val="en-US" w:eastAsia="zh-CN"/>
                    </w:rPr>
                  </w:pPr>
                  <w:r>
                    <w:rPr>
                      <w:rFonts w:hint="eastAsia"/>
                      <w:color w:val="auto"/>
                      <w:u w:val="single"/>
                      <w:lang w:val="en-US" w:eastAsia="zh-CN"/>
                    </w:rPr>
                    <w:t>东</w:t>
                  </w:r>
                </w:p>
              </w:tc>
              <w:tc>
                <w:tcPr>
                  <w:tcW w:w="1717" w:type="dxa"/>
                  <w:noWrap w:val="0"/>
                  <w:vAlign w:val="center"/>
                </w:tcPr>
                <w:p>
                  <w:pPr>
                    <w:pStyle w:val="53"/>
                    <w:rPr>
                      <w:rFonts w:hint="default" w:eastAsia="宋体"/>
                      <w:color w:val="auto"/>
                      <w:u w:val="single"/>
                      <w:lang w:val="en-US" w:eastAsia="zh-CN"/>
                    </w:rPr>
                  </w:pPr>
                  <w:r>
                    <w:rPr>
                      <w:rFonts w:hint="eastAsia"/>
                      <w:color w:val="auto"/>
                      <w:u w:val="single"/>
                      <w:lang w:val="en-US" w:eastAsia="zh-CN"/>
                    </w:rPr>
                    <w:t>相邻</w:t>
                  </w:r>
                </w:p>
              </w:tc>
              <w:tc>
                <w:tcPr>
                  <w:tcW w:w="2010" w:type="dxa"/>
                  <w:noWrap w:val="0"/>
                  <w:vAlign w:val="center"/>
                </w:tcPr>
                <w:p>
                  <w:pPr>
                    <w:pStyle w:val="53"/>
                    <w:ind w:firstLine="0" w:firstLineChars="0"/>
                    <w:rPr>
                      <w:rFonts w:hint="default" w:ascii="Times New Roman" w:hAnsi="Times New Roman" w:eastAsia="宋体" w:cs="Times New Roman"/>
                      <w:b w:val="0"/>
                      <w:color w:val="auto"/>
                      <w:kern w:val="2"/>
                      <w:sz w:val="21"/>
                      <w:szCs w:val="21"/>
                      <w:u w:val="single"/>
                      <w:lang w:val="en-US" w:eastAsia="zh-CN" w:bidi="ar-SA"/>
                    </w:rPr>
                  </w:pPr>
                  <w:r>
                    <w:rPr>
                      <w:rFonts w:hint="eastAsia"/>
                      <w:color w:val="auto"/>
                      <w:u w:val="single"/>
                      <w:lang w:val="en-US" w:eastAsia="zh-CN"/>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1" w:type="dxa"/>
                  <w:noWrap w:val="0"/>
                  <w:vAlign w:val="center"/>
                </w:tcPr>
                <w:p>
                  <w:pPr>
                    <w:pStyle w:val="53"/>
                    <w:rPr>
                      <w:color w:val="auto"/>
                      <w:u w:val="single"/>
                    </w:rPr>
                  </w:pPr>
                  <w:r>
                    <w:rPr>
                      <w:rFonts w:hint="eastAsia"/>
                      <w:color w:val="auto"/>
                      <w:u w:val="single"/>
                    </w:rPr>
                    <w:t>3</w:t>
                  </w:r>
                </w:p>
              </w:tc>
              <w:tc>
                <w:tcPr>
                  <w:tcW w:w="1418" w:type="dxa"/>
                  <w:noWrap w:val="0"/>
                  <w:vAlign w:val="center"/>
                </w:tcPr>
                <w:p>
                  <w:pPr>
                    <w:pStyle w:val="53"/>
                    <w:rPr>
                      <w:color w:val="auto"/>
                      <w:u w:val="single"/>
                    </w:rPr>
                  </w:pPr>
                  <w:r>
                    <w:rPr>
                      <w:rFonts w:hint="eastAsia"/>
                      <w:color w:val="auto"/>
                      <w:u w:val="single"/>
                      <w:lang w:val="en-US" w:eastAsia="zh-CN"/>
                    </w:rPr>
                    <w:t>成套设备生产车间</w:t>
                  </w:r>
                </w:p>
              </w:tc>
              <w:tc>
                <w:tcPr>
                  <w:tcW w:w="1369" w:type="dxa"/>
                  <w:vMerge w:val="continue"/>
                  <w:noWrap w:val="0"/>
                  <w:vAlign w:val="center"/>
                </w:tcPr>
                <w:p>
                  <w:pPr>
                    <w:pStyle w:val="53"/>
                    <w:rPr>
                      <w:color w:val="auto"/>
                      <w:u w:val="single"/>
                    </w:rPr>
                  </w:pPr>
                </w:p>
              </w:tc>
              <w:tc>
                <w:tcPr>
                  <w:tcW w:w="915" w:type="dxa"/>
                  <w:noWrap w:val="0"/>
                  <w:vAlign w:val="center"/>
                </w:tcPr>
                <w:p>
                  <w:pPr>
                    <w:pStyle w:val="53"/>
                    <w:rPr>
                      <w:rFonts w:hint="eastAsia"/>
                      <w:color w:val="auto"/>
                      <w:u w:val="single"/>
                    </w:rPr>
                  </w:pPr>
                  <w:r>
                    <w:rPr>
                      <w:rFonts w:hint="eastAsia"/>
                      <w:color w:val="auto"/>
                      <w:u w:val="single"/>
                      <w:lang w:val="en-US" w:eastAsia="zh-CN"/>
                    </w:rPr>
                    <w:t>南</w:t>
                  </w:r>
                </w:p>
              </w:tc>
              <w:tc>
                <w:tcPr>
                  <w:tcW w:w="1717" w:type="dxa"/>
                  <w:noWrap w:val="0"/>
                  <w:vAlign w:val="center"/>
                </w:tcPr>
                <w:p>
                  <w:pPr>
                    <w:pStyle w:val="53"/>
                    <w:rPr>
                      <w:rFonts w:hint="default" w:eastAsia="宋体"/>
                      <w:color w:val="auto"/>
                      <w:u w:val="single"/>
                      <w:lang w:val="en-US" w:eastAsia="zh-CN"/>
                    </w:rPr>
                  </w:pPr>
                  <w:r>
                    <w:rPr>
                      <w:rFonts w:hint="eastAsia"/>
                      <w:color w:val="auto"/>
                      <w:u w:val="single"/>
                      <w:lang w:val="en-US" w:eastAsia="zh-CN"/>
                    </w:rPr>
                    <w:t>相邻</w:t>
                  </w:r>
                </w:p>
              </w:tc>
              <w:tc>
                <w:tcPr>
                  <w:tcW w:w="2010" w:type="dxa"/>
                  <w:noWrap w:val="0"/>
                  <w:vAlign w:val="center"/>
                </w:tcPr>
                <w:p>
                  <w:pPr>
                    <w:pStyle w:val="53"/>
                    <w:ind w:firstLine="0" w:firstLineChars="0"/>
                    <w:rPr>
                      <w:rFonts w:hint="default" w:ascii="Times New Roman" w:hAnsi="Times New Roman" w:eastAsia="宋体" w:cs="Times New Roman"/>
                      <w:b w:val="0"/>
                      <w:color w:val="auto"/>
                      <w:kern w:val="2"/>
                      <w:sz w:val="21"/>
                      <w:szCs w:val="21"/>
                      <w:u w:val="single"/>
                      <w:lang w:val="en-US" w:eastAsia="zh-CN" w:bidi="ar-SA"/>
                    </w:rPr>
                  </w:pPr>
                  <w:r>
                    <w:rPr>
                      <w:rFonts w:hint="eastAsia"/>
                      <w:color w:val="auto"/>
                      <w:u w:val="single"/>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41" w:type="dxa"/>
                  <w:noWrap w:val="0"/>
                  <w:vAlign w:val="center"/>
                </w:tcPr>
                <w:p>
                  <w:pPr>
                    <w:pStyle w:val="53"/>
                    <w:rPr>
                      <w:color w:val="auto"/>
                      <w:u w:val="single"/>
                    </w:rPr>
                  </w:pPr>
                  <w:r>
                    <w:rPr>
                      <w:rFonts w:hint="eastAsia"/>
                      <w:color w:val="auto"/>
                      <w:u w:val="single"/>
                    </w:rPr>
                    <w:t>4</w:t>
                  </w:r>
                </w:p>
              </w:tc>
              <w:tc>
                <w:tcPr>
                  <w:tcW w:w="1418" w:type="dxa"/>
                  <w:noWrap w:val="0"/>
                  <w:vAlign w:val="center"/>
                </w:tcPr>
                <w:p>
                  <w:pPr>
                    <w:pStyle w:val="53"/>
                    <w:rPr>
                      <w:rFonts w:hint="default" w:eastAsia="宋体"/>
                      <w:color w:val="auto"/>
                      <w:u w:val="single"/>
                      <w:lang w:val="en-US" w:eastAsia="zh-CN"/>
                    </w:rPr>
                  </w:pPr>
                  <w:r>
                    <w:rPr>
                      <w:rFonts w:hint="eastAsia"/>
                      <w:color w:val="auto"/>
                      <w:u w:val="single"/>
                      <w:lang w:val="en-US" w:eastAsia="zh-CN"/>
                    </w:rPr>
                    <w:t>工业园区厂房</w:t>
                  </w:r>
                </w:p>
              </w:tc>
              <w:tc>
                <w:tcPr>
                  <w:tcW w:w="1369" w:type="dxa"/>
                  <w:vMerge w:val="continue"/>
                  <w:noWrap w:val="0"/>
                  <w:vAlign w:val="center"/>
                </w:tcPr>
                <w:p>
                  <w:pPr>
                    <w:pStyle w:val="53"/>
                    <w:rPr>
                      <w:color w:val="auto"/>
                      <w:u w:val="single"/>
                    </w:rPr>
                  </w:pPr>
                </w:p>
              </w:tc>
              <w:tc>
                <w:tcPr>
                  <w:tcW w:w="915" w:type="dxa"/>
                  <w:noWrap w:val="0"/>
                  <w:vAlign w:val="center"/>
                </w:tcPr>
                <w:p>
                  <w:pPr>
                    <w:pStyle w:val="53"/>
                    <w:rPr>
                      <w:rFonts w:hint="eastAsia"/>
                      <w:color w:val="auto"/>
                      <w:u w:val="single"/>
                    </w:rPr>
                  </w:pPr>
                  <w:r>
                    <w:rPr>
                      <w:rFonts w:hint="eastAsia"/>
                      <w:color w:val="auto"/>
                      <w:u w:val="single"/>
                      <w:lang w:val="en-US" w:eastAsia="zh-CN"/>
                    </w:rPr>
                    <w:t>北</w:t>
                  </w:r>
                </w:p>
              </w:tc>
              <w:tc>
                <w:tcPr>
                  <w:tcW w:w="1717" w:type="dxa"/>
                  <w:noWrap w:val="0"/>
                  <w:vAlign w:val="center"/>
                </w:tcPr>
                <w:p>
                  <w:pPr>
                    <w:pStyle w:val="53"/>
                    <w:rPr>
                      <w:rFonts w:hint="default" w:eastAsia="宋体"/>
                      <w:color w:val="auto"/>
                      <w:u w:val="single"/>
                      <w:lang w:val="en-US" w:eastAsia="zh-CN"/>
                    </w:rPr>
                  </w:pPr>
                  <w:r>
                    <w:rPr>
                      <w:rFonts w:hint="eastAsia"/>
                      <w:color w:val="auto"/>
                      <w:u w:val="single"/>
                      <w:lang w:val="en-US" w:eastAsia="zh-CN"/>
                    </w:rPr>
                    <w:t>30</w:t>
                  </w:r>
                </w:p>
              </w:tc>
              <w:tc>
                <w:tcPr>
                  <w:tcW w:w="2010" w:type="dxa"/>
                  <w:noWrap w:val="0"/>
                  <w:vAlign w:val="center"/>
                </w:tcPr>
                <w:p>
                  <w:pPr>
                    <w:pStyle w:val="53"/>
                    <w:ind w:firstLine="0" w:firstLineChars="0"/>
                    <w:rPr>
                      <w:rFonts w:hint="default" w:ascii="Times New Roman" w:hAnsi="Times New Roman" w:eastAsia="宋体" w:cs="Times New Roman"/>
                      <w:b w:val="0"/>
                      <w:color w:val="auto"/>
                      <w:kern w:val="2"/>
                      <w:sz w:val="21"/>
                      <w:szCs w:val="21"/>
                      <w:u w:val="single"/>
                      <w:lang w:val="en-US" w:eastAsia="zh-CN" w:bidi="ar-SA"/>
                    </w:rPr>
                  </w:pPr>
                  <w:r>
                    <w:rPr>
                      <w:rFonts w:hint="eastAsia"/>
                      <w:color w:val="auto"/>
                      <w:u w:val="single"/>
                      <w:lang w:val="en-US" w:eastAsia="zh-CN"/>
                    </w:rPr>
                    <w:t>34</w:t>
                  </w:r>
                </w:p>
              </w:tc>
            </w:tr>
          </w:tbl>
          <w:p>
            <w:pPr>
              <w:pStyle w:val="45"/>
              <w:spacing w:before="156" w:after="156"/>
              <w:rPr>
                <w:color w:val="auto"/>
              </w:rPr>
            </w:pPr>
            <w:r>
              <w:rPr>
                <w:rFonts w:hint="eastAsia"/>
                <w:color w:val="auto"/>
              </w:rPr>
              <w:t>7.3评价标准</w:t>
            </w:r>
          </w:p>
          <w:p>
            <w:pPr>
              <w:pStyle w:val="47"/>
              <w:ind w:firstLine="482"/>
              <w:rPr>
                <w:color w:val="auto"/>
              </w:rPr>
            </w:pPr>
            <w:r>
              <w:rPr>
                <w:rStyle w:val="41"/>
                <w:color w:val="auto"/>
              </w:rPr>
              <w:t>（1）《电离辐射防护与辐射源安全基本标准》（GB18871－2002</w:t>
            </w:r>
            <w:r>
              <w:rPr>
                <w:color w:val="auto"/>
              </w:rPr>
              <w:t>）</w:t>
            </w:r>
          </w:p>
          <w:p>
            <w:pPr>
              <w:pStyle w:val="47"/>
              <w:rPr>
                <w:color w:val="auto"/>
              </w:rPr>
            </w:pPr>
            <w:r>
              <w:rPr>
                <w:color w:val="auto"/>
              </w:rPr>
              <w:t>本标准适用于实践和干预中人员所受电离辐射照射的防护和实践中源的安全。</w:t>
            </w:r>
          </w:p>
          <w:p>
            <w:pPr>
              <w:pStyle w:val="42"/>
              <w:rPr>
                <w:color w:val="auto"/>
              </w:rPr>
            </w:pPr>
            <w:r>
              <w:rPr>
                <w:color w:val="auto"/>
              </w:rPr>
              <w:t>a、辐射工作人员</w:t>
            </w:r>
          </w:p>
          <w:p>
            <w:pPr>
              <w:pStyle w:val="47"/>
              <w:rPr>
                <w:color w:val="auto"/>
              </w:rPr>
            </w:pPr>
            <w:r>
              <w:rPr>
                <w:color w:val="auto"/>
              </w:rPr>
              <w:t>应对工作人员的职业照射水平进行控制，使之不超过下述控制值。由审管部门决定的连续5年的年平均有效剂量（但不可作任何追溯性平均）20mSv。</w:t>
            </w:r>
          </w:p>
          <w:p>
            <w:pPr>
              <w:pStyle w:val="47"/>
              <w:ind w:firstLine="482"/>
              <w:rPr>
                <w:b w:val="0"/>
                <w:bCs/>
                <w:color w:val="auto"/>
              </w:rPr>
            </w:pPr>
            <w:r>
              <w:rPr>
                <w:b w:val="0"/>
                <w:bCs/>
                <w:color w:val="auto"/>
              </w:rPr>
              <w:t>根据探伤装置实际使用情况建设单位</w:t>
            </w:r>
            <w:r>
              <w:rPr>
                <w:rFonts w:hint="eastAsia"/>
                <w:b w:val="0"/>
                <w:bCs/>
                <w:color w:val="auto"/>
              </w:rPr>
              <w:t>决定</w:t>
            </w:r>
            <w:r>
              <w:rPr>
                <w:b w:val="0"/>
                <w:bCs/>
                <w:color w:val="auto"/>
              </w:rPr>
              <w:t>取其1/</w:t>
            </w:r>
            <w:r>
              <w:rPr>
                <w:rFonts w:hint="eastAsia"/>
                <w:b w:val="0"/>
                <w:bCs/>
                <w:color w:val="auto"/>
              </w:rPr>
              <w:t>10</w:t>
            </w:r>
            <w:r>
              <w:rPr>
                <w:b w:val="0"/>
                <w:bCs/>
                <w:color w:val="auto"/>
              </w:rPr>
              <w:t>即</w:t>
            </w:r>
            <w:r>
              <w:rPr>
                <w:rFonts w:hint="eastAsia"/>
                <w:b w:val="0"/>
                <w:bCs/>
                <w:color w:val="auto"/>
              </w:rPr>
              <w:t>2</w:t>
            </w:r>
            <w:r>
              <w:rPr>
                <w:b w:val="0"/>
                <w:bCs/>
                <w:color w:val="auto"/>
              </w:rPr>
              <w:t>mSv/a作为剂量管理目标值。</w:t>
            </w:r>
          </w:p>
          <w:p>
            <w:pPr>
              <w:pStyle w:val="42"/>
              <w:rPr>
                <w:color w:val="auto"/>
              </w:rPr>
            </w:pPr>
            <w:r>
              <w:rPr>
                <w:color w:val="auto"/>
              </w:rPr>
              <w:t>b、公众照射</w:t>
            </w:r>
          </w:p>
          <w:p>
            <w:pPr>
              <w:pStyle w:val="47"/>
              <w:rPr>
                <w:color w:val="auto"/>
              </w:rPr>
            </w:pPr>
            <w:r>
              <w:rPr>
                <w:color w:val="auto"/>
              </w:rPr>
              <w:t>公众中有关关键人群组的成员所受到的年平均剂量估计值不应超过下述控制值1mSv。</w:t>
            </w:r>
          </w:p>
          <w:p>
            <w:pPr>
              <w:pStyle w:val="47"/>
              <w:ind w:firstLine="482"/>
              <w:rPr>
                <w:b w:val="0"/>
                <w:bCs/>
                <w:color w:val="auto"/>
              </w:rPr>
            </w:pPr>
            <w:r>
              <w:rPr>
                <w:b w:val="0"/>
                <w:bCs/>
                <w:color w:val="auto"/>
              </w:rPr>
              <w:t>根据探伤装置实际使用情况建设单位</w:t>
            </w:r>
            <w:r>
              <w:rPr>
                <w:rFonts w:hint="eastAsia"/>
                <w:b w:val="0"/>
                <w:bCs/>
                <w:color w:val="auto"/>
              </w:rPr>
              <w:t>决定</w:t>
            </w:r>
            <w:r>
              <w:rPr>
                <w:b w:val="0"/>
                <w:bCs/>
                <w:color w:val="auto"/>
              </w:rPr>
              <w:t>取其1/10即0.1mSv/a作为剂量管理目标值。</w:t>
            </w:r>
          </w:p>
          <w:p>
            <w:pPr>
              <w:pStyle w:val="42"/>
              <w:rPr>
                <w:color w:val="auto"/>
              </w:rPr>
            </w:pPr>
            <w:r>
              <w:rPr>
                <w:rFonts w:hint="eastAsia"/>
                <w:color w:val="auto"/>
              </w:rPr>
              <w:t>（2）</w:t>
            </w:r>
            <w:r>
              <w:rPr>
                <w:color w:val="auto"/>
              </w:rPr>
              <w:t>《工业X射线探伤放射防护要求》（GBZ117－2015）</w:t>
            </w:r>
          </w:p>
          <w:p>
            <w:pPr>
              <w:pStyle w:val="47"/>
              <w:rPr>
                <w:color w:val="auto"/>
              </w:rPr>
            </w:pPr>
            <w:r>
              <w:rPr>
                <w:color w:val="auto"/>
              </w:rPr>
              <w:t>该标准规定了工业X射线探伤室探伤、工业X射线现场探伤的放射防护要求。</w:t>
            </w:r>
          </w:p>
          <w:p>
            <w:pPr>
              <w:pStyle w:val="47"/>
              <w:rPr>
                <w:color w:val="auto"/>
              </w:rPr>
            </w:pPr>
            <w:r>
              <w:rPr>
                <w:color w:val="auto"/>
              </w:rPr>
              <w:t>第3条工业X射线探伤装置放射防护的性能要求</w:t>
            </w:r>
          </w:p>
          <w:p>
            <w:pPr>
              <w:pStyle w:val="47"/>
              <w:rPr>
                <w:color w:val="auto"/>
              </w:rPr>
            </w:pPr>
            <w:r>
              <w:rPr>
                <w:color w:val="auto"/>
              </w:rPr>
              <w:t>第3.1.1.5条X射线管头组装体漏射线空气比释动能率X射线装置在额定工作条件下，距X射线管焦点1m处的漏射线空气比释动能率应符合如表7-2要求。</w:t>
            </w:r>
          </w:p>
          <w:p>
            <w:pPr>
              <w:pStyle w:val="49"/>
              <w:rPr>
                <w:color w:val="auto"/>
                <w:u w:val="single"/>
              </w:rPr>
            </w:pPr>
          </w:p>
          <w:p>
            <w:pPr>
              <w:pStyle w:val="49"/>
              <w:rPr>
                <w:color w:val="auto"/>
                <w:u w:val="single"/>
              </w:rPr>
            </w:pPr>
          </w:p>
          <w:p>
            <w:pPr>
              <w:pStyle w:val="49"/>
              <w:rPr>
                <w:color w:val="auto"/>
                <w:u w:val="single"/>
              </w:rPr>
            </w:pPr>
            <w:r>
              <w:rPr>
                <w:color w:val="auto"/>
                <w:u w:val="single"/>
              </w:rPr>
              <w:t>表</w:t>
            </w:r>
            <w:r>
              <w:rPr>
                <w:rFonts w:hint="eastAsia"/>
                <w:color w:val="auto"/>
                <w:u w:val="single"/>
              </w:rPr>
              <w:t>7-2</w:t>
            </w:r>
            <w:r>
              <w:rPr>
                <w:rFonts w:hint="eastAsia"/>
                <w:color w:val="auto"/>
                <w:u w:val="single"/>
                <w:lang w:val="en-US" w:eastAsia="zh-CN"/>
              </w:rPr>
              <w:t xml:space="preserve"> </w:t>
            </w:r>
            <w:r>
              <w:rPr>
                <w:color w:val="auto"/>
                <w:u w:val="single"/>
              </w:rPr>
              <w:t>X射线管头组装体漏射线空气比释动能率控制值</w:t>
            </w: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32"/>
              <w:gridCol w:w="40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32" w:type="dxa"/>
                  <w:noWrap w:val="0"/>
                  <w:vAlign w:val="top"/>
                </w:tcPr>
                <w:p>
                  <w:pPr>
                    <w:pStyle w:val="53"/>
                    <w:rPr>
                      <w:color w:val="auto"/>
                      <w:u w:val="single"/>
                    </w:rPr>
                  </w:pPr>
                  <w:r>
                    <w:rPr>
                      <w:color w:val="auto"/>
                      <w:u w:val="single"/>
                    </w:rPr>
                    <w:t>管电压，kV</w:t>
                  </w:r>
                </w:p>
              </w:tc>
              <w:tc>
                <w:tcPr>
                  <w:tcW w:w="4033" w:type="dxa"/>
                  <w:noWrap w:val="0"/>
                  <w:vAlign w:val="top"/>
                </w:tcPr>
                <w:p>
                  <w:pPr>
                    <w:widowControl/>
                    <w:jc w:val="center"/>
                    <w:rPr>
                      <w:color w:val="auto"/>
                      <w:u w:val="single"/>
                    </w:rPr>
                  </w:pPr>
                  <w:r>
                    <w:rPr>
                      <w:color w:val="auto"/>
                      <w:u w:val="single"/>
                    </w:rPr>
                    <w:t>漏射线空气比释动能率</w:t>
                  </w:r>
                  <w:r>
                    <w:rPr>
                      <w:rFonts w:hint="eastAsia"/>
                      <w:color w:val="auto"/>
                      <w:u w:val="single"/>
                      <w:lang w:val="en-US" w:eastAsia="zh-CN"/>
                    </w:rPr>
                    <w:t xml:space="preserve"> </w:t>
                  </w:r>
                  <w:r>
                    <w:rPr>
                      <w:rFonts w:ascii="Times New Roman" w:hAnsi="Times New Roman" w:eastAsia="Ebrima" w:cs="Times New Roman"/>
                      <w:color w:val="auto"/>
                      <w:kern w:val="0"/>
                      <w:sz w:val="16"/>
                      <w:szCs w:val="16"/>
                      <w:lang w:val="en-US" w:eastAsia="zh-CN" w:bidi="ar"/>
                    </w:rPr>
                    <w:t>mGy/h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32" w:type="dxa"/>
                  <w:noWrap w:val="0"/>
                  <w:vAlign w:val="top"/>
                </w:tcPr>
                <w:p>
                  <w:pPr>
                    <w:pStyle w:val="53"/>
                    <w:rPr>
                      <w:rFonts w:hint="default" w:eastAsia="宋体"/>
                      <w:color w:val="auto"/>
                      <w:u w:val="single"/>
                      <w:lang w:val="en-US" w:eastAsia="zh-CN"/>
                    </w:rPr>
                  </w:pPr>
                  <w:r>
                    <w:rPr>
                      <w:rFonts w:hint="eastAsia"/>
                      <w:color w:val="auto"/>
                      <w:u w:val="single"/>
                      <w:lang w:val="en-US" w:eastAsia="zh-CN"/>
                    </w:rPr>
                    <w:t>＞200</w:t>
                  </w:r>
                </w:p>
              </w:tc>
              <w:tc>
                <w:tcPr>
                  <w:tcW w:w="4033" w:type="dxa"/>
                  <w:noWrap w:val="0"/>
                  <w:vAlign w:val="top"/>
                </w:tcPr>
                <w:p>
                  <w:pPr>
                    <w:pStyle w:val="53"/>
                    <w:rPr>
                      <w:rFonts w:hint="eastAsia" w:eastAsia="宋体"/>
                      <w:color w:val="auto"/>
                      <w:u w:val="single"/>
                      <w:lang w:eastAsia="zh-CN"/>
                    </w:rPr>
                  </w:pPr>
                  <w:r>
                    <w:rPr>
                      <w:color w:val="auto"/>
                      <w:u w:val="single"/>
                    </w:rPr>
                    <w:t>＜</w:t>
                  </w:r>
                  <w:r>
                    <w:rPr>
                      <w:rFonts w:hint="eastAsia"/>
                      <w:color w:val="auto"/>
                      <w:u w:val="single"/>
                      <w:lang w:val="en-US" w:eastAsia="zh-CN"/>
                    </w:rPr>
                    <w:t>5</w:t>
                  </w:r>
                </w:p>
              </w:tc>
            </w:tr>
          </w:tbl>
          <w:p>
            <w:pPr>
              <w:pStyle w:val="42"/>
              <w:rPr>
                <w:color w:val="auto"/>
              </w:rPr>
            </w:pPr>
            <w:r>
              <w:rPr>
                <w:color w:val="auto"/>
              </w:rPr>
              <w:t>第4条工业X射线探伤室探伤的放射防护要求</w:t>
            </w:r>
          </w:p>
          <w:p>
            <w:pPr>
              <w:pStyle w:val="42"/>
              <w:rPr>
                <w:color w:val="auto"/>
              </w:rPr>
            </w:pPr>
            <w:r>
              <w:rPr>
                <w:color w:val="auto"/>
              </w:rPr>
              <w:t>第4.1条防护安全要求</w:t>
            </w:r>
          </w:p>
          <w:p>
            <w:pPr>
              <w:pStyle w:val="47"/>
              <w:rPr>
                <w:color w:val="auto"/>
              </w:rPr>
            </w:pPr>
            <w:r>
              <w:rPr>
                <w:color w:val="auto"/>
              </w:rPr>
              <w:t>第4.1.1条探伤室的设置应充分考虑周围的放射安全，操作室应与探伤室分开并避开有用线束照射的方向。</w:t>
            </w:r>
          </w:p>
          <w:p>
            <w:pPr>
              <w:pStyle w:val="47"/>
              <w:rPr>
                <w:color w:val="auto"/>
              </w:rPr>
            </w:pPr>
            <w:r>
              <w:rPr>
                <w:color w:val="auto"/>
              </w:rPr>
              <w:t>第4.1.2条应对探伤工作场所实行分区管理。一般将探伤室墙壁围成的内部区域划为控制区，与墙壁外部相邻区域划为监督区。</w:t>
            </w:r>
          </w:p>
          <w:p>
            <w:pPr>
              <w:pStyle w:val="47"/>
              <w:rPr>
                <w:color w:val="auto"/>
              </w:rPr>
            </w:pPr>
            <w:r>
              <w:rPr>
                <w:color w:val="auto"/>
              </w:rPr>
              <w:t>第4.1.3条X射线探伤室墙和入口门的辐射屏蔽应同时满足：</w:t>
            </w:r>
          </w:p>
          <w:p>
            <w:pPr>
              <w:pStyle w:val="47"/>
              <w:rPr>
                <w:color w:val="auto"/>
              </w:rPr>
            </w:pPr>
            <w:r>
              <w:rPr>
                <w:color w:val="auto"/>
              </w:rPr>
              <w:t>a)人员在关注点的周剂量参考控制水平，对职业工作人员不大于100μSv/周，对公众不大于5μSv/周；</w:t>
            </w:r>
          </w:p>
          <w:p>
            <w:pPr>
              <w:pStyle w:val="47"/>
              <w:rPr>
                <w:color w:val="auto"/>
              </w:rPr>
            </w:pPr>
            <w:r>
              <w:rPr>
                <w:color w:val="auto"/>
              </w:rPr>
              <w:t>b)关注点最高周围剂量当量率参考控制水平不大于2.5μSv/h。</w:t>
            </w:r>
          </w:p>
          <w:p>
            <w:pPr>
              <w:pStyle w:val="47"/>
              <w:rPr>
                <w:color w:val="auto"/>
              </w:rPr>
            </w:pPr>
            <w:r>
              <w:rPr>
                <w:color w:val="auto"/>
              </w:rPr>
              <w:t>第4.1.4条探伤室顶的辐射屏蔽应满足：</w:t>
            </w:r>
          </w:p>
          <w:p>
            <w:pPr>
              <w:pStyle w:val="47"/>
              <w:rPr>
                <w:color w:val="auto"/>
              </w:rPr>
            </w:pPr>
            <w:r>
              <w:rPr>
                <w:color w:val="auto"/>
              </w:rPr>
              <w:t>a)探伤室上方已建、拟建建筑物或探伤室旁邻近建筑物在自辐射源点到探伤室顶内表面边缘所张立体角区域内时，探伤室顶的辐射屏蔽要求同4.1.3；</w:t>
            </w:r>
          </w:p>
          <w:p>
            <w:pPr>
              <w:pStyle w:val="47"/>
              <w:rPr>
                <w:color w:val="auto"/>
              </w:rPr>
            </w:pPr>
            <w:r>
              <w:rPr>
                <w:color w:val="auto"/>
              </w:rPr>
              <w:t>b)对不需要人员到达的探伤室顶，探伤室顶外表面30cm处的剂量率参考控制水平通常可取为100μSv/h。</w:t>
            </w:r>
          </w:p>
          <w:p>
            <w:pPr>
              <w:pStyle w:val="47"/>
              <w:rPr>
                <w:color w:val="auto"/>
              </w:rPr>
            </w:pPr>
            <w:r>
              <w:rPr>
                <w:color w:val="auto"/>
              </w:rPr>
              <w:t>第4.1.5条探伤室应设置门-机联锁装置，并保证在门(包括人员门和货物门)关闭后X射线装置才能进行探伤作业。门打开时应立即停止X射线照射，关上门不能自动开始X射线照射。门-机联锁装置的设置应方便探伤室内部的人员在紧急情况下离开探伤室。</w:t>
            </w:r>
          </w:p>
          <w:p>
            <w:pPr>
              <w:pStyle w:val="47"/>
              <w:rPr>
                <w:color w:val="auto"/>
              </w:rPr>
            </w:pPr>
            <w:r>
              <w:rPr>
                <w:color w:val="auto"/>
              </w:rPr>
              <w:t>第4.1.11条探伤室应设置机械通风装置，排风管道外口避免朝向人员活动密集区。每小时有效通风换气次数应不小于3次。</w:t>
            </w:r>
          </w:p>
          <w:p>
            <w:pPr>
              <w:pStyle w:val="47"/>
              <w:rPr>
                <w:color w:val="auto"/>
              </w:rPr>
            </w:pPr>
            <w:r>
              <w:rPr>
                <w:color w:val="auto"/>
              </w:rPr>
              <w:t>根据计算，本环评按照探伤室外周围剂量当量率不大于2.5μSv/h评价探伤室的防护性能。</w:t>
            </w:r>
          </w:p>
          <w:p>
            <w:pPr>
              <w:pStyle w:val="42"/>
              <w:rPr>
                <w:color w:val="auto"/>
              </w:rPr>
            </w:pPr>
            <w:r>
              <w:rPr>
                <w:color w:val="auto"/>
              </w:rPr>
              <w:t>第6条放射防护检测</w:t>
            </w:r>
          </w:p>
          <w:p>
            <w:pPr>
              <w:pStyle w:val="42"/>
              <w:rPr>
                <w:color w:val="auto"/>
              </w:rPr>
            </w:pPr>
            <w:r>
              <w:rPr>
                <w:color w:val="auto"/>
              </w:rPr>
              <w:t>第6.1条检测的一般要求</w:t>
            </w:r>
          </w:p>
          <w:p>
            <w:pPr>
              <w:pStyle w:val="47"/>
              <w:rPr>
                <w:color w:val="auto"/>
              </w:rPr>
            </w:pPr>
            <w:r>
              <w:rPr>
                <w:color w:val="auto"/>
              </w:rPr>
              <w:t>第6.1.1条检测计划</w:t>
            </w:r>
          </w:p>
          <w:p>
            <w:pPr>
              <w:pStyle w:val="47"/>
              <w:rPr>
                <w:color w:val="auto"/>
              </w:rPr>
            </w:pPr>
            <w:r>
              <w:rPr>
                <w:color w:val="auto"/>
              </w:rPr>
              <w:t>运营单位应制定放射防护检测计划</w:t>
            </w:r>
            <w:r>
              <w:rPr>
                <w:rFonts w:hint="eastAsia"/>
                <w:color w:val="auto"/>
              </w:rPr>
              <w:t>，</w:t>
            </w:r>
            <w:r>
              <w:rPr>
                <w:color w:val="auto"/>
              </w:rPr>
              <w:t>在检测计划中应对检测位置、检测频率以及检测结果的保存等作出规定，并给出每一个测量位置的参考控制水平和超过该参考控制水平时应采取的行动措施。</w:t>
            </w:r>
          </w:p>
          <w:p>
            <w:pPr>
              <w:pStyle w:val="47"/>
              <w:rPr>
                <w:color w:val="auto"/>
              </w:rPr>
            </w:pPr>
            <w:r>
              <w:rPr>
                <w:color w:val="auto"/>
              </w:rPr>
              <w:t>第6.1.2条检测仪器</w:t>
            </w:r>
          </w:p>
          <w:p>
            <w:pPr>
              <w:pStyle w:val="47"/>
              <w:rPr>
                <w:color w:val="auto"/>
              </w:rPr>
            </w:pPr>
            <w:r>
              <w:rPr>
                <w:color w:val="auto"/>
              </w:rPr>
              <w:t>用于X射线探伤装置放射防护检测的仪器，应按规定进行定期检定，并取得相应证书。</w:t>
            </w:r>
          </w:p>
          <w:p>
            <w:pPr>
              <w:pStyle w:val="47"/>
              <w:rPr>
                <w:color w:val="auto"/>
              </w:rPr>
            </w:pPr>
            <w:r>
              <w:rPr>
                <w:color w:val="auto"/>
              </w:rPr>
              <w:t>使用前应对辐射检测仪器进行检查，包括是否有物理损坏、调零、电池、仪器对射线的响应等。</w:t>
            </w:r>
          </w:p>
          <w:p>
            <w:pPr>
              <w:pStyle w:val="47"/>
              <w:rPr>
                <w:color w:val="auto"/>
              </w:rPr>
            </w:pPr>
            <w:r>
              <w:rPr>
                <w:color w:val="auto"/>
              </w:rPr>
              <w:t>第6.1.3条检测条件</w:t>
            </w:r>
          </w:p>
          <w:p>
            <w:pPr>
              <w:pStyle w:val="47"/>
              <w:rPr>
                <w:color w:val="auto"/>
              </w:rPr>
            </w:pPr>
            <w:r>
              <w:rPr>
                <w:color w:val="auto"/>
              </w:rPr>
              <w:t>检测应在X射线探伤装置的限束装置开至最大，额定管电压、管电流照射的条件下进行。</w:t>
            </w:r>
          </w:p>
          <w:p>
            <w:pPr>
              <w:pStyle w:val="42"/>
              <w:rPr>
                <w:color w:val="auto"/>
              </w:rPr>
            </w:pPr>
            <w:r>
              <w:rPr>
                <w:color w:val="auto"/>
              </w:rPr>
              <w:t>（3）《工业X射线探伤室辐射屏蔽规范》（GBZ/T250－2014）</w:t>
            </w:r>
          </w:p>
          <w:p>
            <w:pPr>
              <w:pStyle w:val="42"/>
              <w:rPr>
                <w:color w:val="auto"/>
              </w:rPr>
            </w:pPr>
            <w:r>
              <w:rPr>
                <w:color w:val="auto"/>
              </w:rPr>
              <w:t>第3条探伤室屏蔽要求</w:t>
            </w:r>
          </w:p>
          <w:p>
            <w:pPr>
              <w:pStyle w:val="42"/>
              <w:rPr>
                <w:color w:val="auto"/>
              </w:rPr>
            </w:pPr>
            <w:r>
              <w:rPr>
                <w:color w:val="auto"/>
              </w:rPr>
              <w:t>第3.1条探伤室辐射屏蔽的剂量参考控制水平</w:t>
            </w:r>
          </w:p>
          <w:p>
            <w:pPr>
              <w:pStyle w:val="47"/>
              <w:rPr>
                <w:color w:val="auto"/>
              </w:rPr>
            </w:pPr>
            <w:r>
              <w:rPr>
                <w:color w:val="auto"/>
              </w:rPr>
              <w:t>第3.1.1条探伤墙和入口门外周围剂量当量率和每周周围剂量当量应满足下列要求：</w:t>
            </w:r>
          </w:p>
          <w:p>
            <w:pPr>
              <w:pStyle w:val="47"/>
              <w:rPr>
                <w:color w:val="auto"/>
              </w:rPr>
            </w:pPr>
            <w:r>
              <w:rPr>
                <w:color w:val="auto"/>
              </w:rPr>
              <w:t>a）周剂量参考控制水平（</w:t>
            </w:r>
            <m:oMath>
              <m:sSub>
                <m:sSubPr>
                  <m:ctrlPr>
                    <w:rPr>
                      <w:rFonts w:ascii="Cambria Math" w:hAnsi="Cambria Math"/>
                      <w:color w:val="auto"/>
                    </w:rPr>
                  </m:ctrlPr>
                </m:sSubPr>
                <m:e>
                  <m:r>
                    <m:rPr/>
                    <w:rPr>
                      <w:rFonts w:ascii="Cambria Math" w:hAnsi="Cambria Math"/>
                      <w:color w:val="auto"/>
                    </w:rPr>
                    <m:t>H</m:t>
                  </m:r>
                  <m:ctrlPr>
                    <w:rPr>
                      <w:rFonts w:ascii="Cambria Math" w:hAnsi="Cambria Math"/>
                      <w:color w:val="auto"/>
                    </w:rPr>
                  </m:ctrlPr>
                </m:e>
                <m:sub>
                  <m:r>
                    <m:rPr/>
                    <w:rPr>
                      <w:rFonts w:ascii="Cambria Math" w:hAnsi="Cambria Math"/>
                      <w:color w:val="auto"/>
                    </w:rPr>
                    <m:t>c</m:t>
                  </m:r>
                  <m:ctrlPr>
                    <w:rPr>
                      <w:rFonts w:ascii="Cambria Math" w:hAnsi="Cambria Math"/>
                      <w:color w:val="auto"/>
                    </w:rPr>
                  </m:ctrlPr>
                </m:sub>
              </m:sSub>
            </m:oMath>
            <w:r>
              <w:rPr>
                <w:color w:val="auto"/>
              </w:rPr>
              <w:t>）和导出剂量率参考控制水平（</w:t>
            </w:r>
            <m:oMath>
              <m:sSub>
                <m:sSubPr>
                  <m:ctrlPr>
                    <w:rPr>
                      <w:rFonts w:ascii="Cambria Math" w:hAnsi="Cambria Math"/>
                      <w:color w:val="auto"/>
                    </w:rPr>
                  </m:ctrlPr>
                </m:sSubPr>
                <m:e>
                  <m:acc>
                    <m:accPr>
                      <m:chr m:val="̇"/>
                      <m:ctrlPr>
                        <w:rPr>
                          <w:rFonts w:ascii="Cambria Math" w:hAnsi="Cambria Math"/>
                          <w:color w:val="auto"/>
                        </w:rPr>
                      </m:ctrlPr>
                    </m:accPr>
                    <m:e>
                      <m:r>
                        <m:rPr/>
                        <w:rPr>
                          <w:rFonts w:ascii="Cambria Math" w:hAnsi="Cambria Math"/>
                          <w:color w:val="auto"/>
                        </w:rPr>
                        <m:t>H</m:t>
                      </m:r>
                      <m:ctrlPr>
                        <w:rPr>
                          <w:rFonts w:ascii="Cambria Math" w:hAnsi="Cambria Math"/>
                          <w:color w:val="auto"/>
                        </w:rPr>
                      </m:ctrlPr>
                    </m:e>
                  </m:acc>
                  <m:ctrlPr>
                    <w:rPr>
                      <w:rFonts w:ascii="Cambria Math" w:hAnsi="Cambria Math"/>
                      <w:color w:val="auto"/>
                    </w:rPr>
                  </m:ctrlPr>
                </m:e>
                <m:sub>
                  <m:r>
                    <m:rPr/>
                    <w:rPr>
                      <w:rFonts w:ascii="Cambria Math" w:hAnsi="Cambria Math"/>
                      <w:color w:val="auto"/>
                    </w:rPr>
                    <m:t>c∙d</m:t>
                  </m:r>
                  <m:ctrlPr>
                    <w:rPr>
                      <w:rFonts w:ascii="Cambria Math" w:hAnsi="Cambria Math"/>
                      <w:color w:val="auto"/>
                    </w:rPr>
                  </m:ctrlPr>
                </m:sub>
              </m:sSub>
            </m:oMath>
            <w:r>
              <w:rPr>
                <w:color w:val="auto"/>
              </w:rPr>
              <w:t>）：</w:t>
            </w:r>
          </w:p>
          <w:p>
            <w:pPr>
              <w:pStyle w:val="47"/>
              <w:rPr>
                <w:color w:val="auto"/>
              </w:rPr>
            </w:pPr>
            <w:r>
              <w:rPr>
                <w:color w:val="auto"/>
              </w:rPr>
              <w:t>1）人员在关注点的周剂量参考控制水平</w:t>
            </w:r>
            <m:oMath>
              <m:sSub>
                <m:sSubPr>
                  <m:ctrlPr>
                    <w:rPr>
                      <w:rFonts w:ascii="Cambria Math" w:hAnsi="Cambria Math"/>
                      <w:color w:val="auto"/>
                    </w:rPr>
                  </m:ctrlPr>
                </m:sSubPr>
                <m:e>
                  <m:r>
                    <m:rPr/>
                    <w:rPr>
                      <w:rFonts w:ascii="Cambria Math" w:hAnsi="Cambria Math"/>
                      <w:color w:val="auto"/>
                    </w:rPr>
                    <m:t>H</m:t>
                  </m:r>
                  <m:ctrlPr>
                    <w:rPr>
                      <w:rFonts w:ascii="Cambria Math" w:hAnsi="Cambria Math"/>
                      <w:color w:val="auto"/>
                    </w:rPr>
                  </m:ctrlPr>
                </m:e>
                <m:sub>
                  <m:r>
                    <m:rPr/>
                    <w:rPr>
                      <w:rFonts w:ascii="Cambria Math" w:hAnsi="Cambria Math"/>
                      <w:color w:val="auto"/>
                    </w:rPr>
                    <m:t>c</m:t>
                  </m:r>
                  <m:ctrlPr>
                    <w:rPr>
                      <w:rFonts w:ascii="Cambria Math" w:hAnsi="Cambria Math"/>
                      <w:color w:val="auto"/>
                    </w:rPr>
                  </m:ctrlPr>
                </m:sub>
              </m:sSub>
            </m:oMath>
            <w:r>
              <w:rPr>
                <w:color w:val="auto"/>
              </w:rPr>
              <w:t>如下：</w:t>
            </w:r>
          </w:p>
          <w:p>
            <w:pPr>
              <w:pStyle w:val="47"/>
              <w:rPr>
                <w:color w:val="auto"/>
              </w:rPr>
            </w:pPr>
            <w:r>
              <w:rPr>
                <w:color w:val="auto"/>
              </w:rPr>
              <w:t>职业工作人员：</w:t>
            </w:r>
            <m:oMath>
              <m:sSub>
                <m:sSubPr>
                  <m:ctrlPr>
                    <w:rPr>
                      <w:rFonts w:ascii="Cambria Math" w:hAnsi="Cambria Math"/>
                      <w:color w:val="auto"/>
                    </w:rPr>
                  </m:ctrlPr>
                </m:sSubPr>
                <m:e>
                  <m:r>
                    <m:rPr/>
                    <w:rPr>
                      <w:rFonts w:ascii="Cambria Math" w:hAnsi="Cambria Math"/>
                      <w:color w:val="auto"/>
                    </w:rPr>
                    <m:t>H</m:t>
                  </m:r>
                  <m:ctrlPr>
                    <w:rPr>
                      <w:rFonts w:ascii="Cambria Math" w:hAnsi="Cambria Math"/>
                      <w:color w:val="auto"/>
                    </w:rPr>
                  </m:ctrlPr>
                </m:e>
                <m:sub>
                  <m:r>
                    <m:rPr/>
                    <w:rPr>
                      <w:rFonts w:ascii="Cambria Math" w:hAnsi="Cambria Math"/>
                      <w:color w:val="auto"/>
                    </w:rPr>
                    <m:t>c</m:t>
                  </m:r>
                  <m:ctrlPr>
                    <w:rPr>
                      <w:rFonts w:ascii="Cambria Math" w:hAnsi="Cambria Math"/>
                      <w:color w:val="auto"/>
                    </w:rPr>
                  </m:ctrlPr>
                </m:sub>
              </m:sSub>
            </m:oMath>
            <w:r>
              <w:rPr>
                <w:color w:val="auto"/>
              </w:rPr>
              <w:t>≤100μSv/周</w:t>
            </w:r>
          </w:p>
          <w:p>
            <w:pPr>
              <w:pStyle w:val="47"/>
              <w:rPr>
                <w:color w:val="auto"/>
              </w:rPr>
            </w:pPr>
            <w:r>
              <w:rPr>
                <w:color w:val="auto"/>
              </w:rPr>
              <w:t>公众：</w:t>
            </w:r>
            <m:oMath>
              <m:sSub>
                <m:sSubPr>
                  <m:ctrlPr>
                    <w:rPr>
                      <w:rFonts w:ascii="Cambria Math" w:hAnsi="Cambria Math"/>
                      <w:color w:val="auto"/>
                    </w:rPr>
                  </m:ctrlPr>
                </m:sSubPr>
                <m:e>
                  <m:r>
                    <m:rPr/>
                    <w:rPr>
                      <w:rFonts w:ascii="Cambria Math" w:hAnsi="Cambria Math"/>
                      <w:color w:val="auto"/>
                    </w:rPr>
                    <m:t>H</m:t>
                  </m:r>
                  <m:ctrlPr>
                    <w:rPr>
                      <w:rFonts w:ascii="Cambria Math" w:hAnsi="Cambria Math"/>
                      <w:color w:val="auto"/>
                    </w:rPr>
                  </m:ctrlPr>
                </m:e>
                <m:sub>
                  <m:r>
                    <m:rPr/>
                    <w:rPr>
                      <w:rFonts w:ascii="Cambria Math" w:hAnsi="Cambria Math"/>
                      <w:color w:val="auto"/>
                    </w:rPr>
                    <m:t>c</m:t>
                  </m:r>
                  <m:ctrlPr>
                    <w:rPr>
                      <w:rFonts w:ascii="Cambria Math" w:hAnsi="Cambria Math"/>
                      <w:color w:val="auto"/>
                    </w:rPr>
                  </m:ctrlPr>
                </m:sub>
              </m:sSub>
            </m:oMath>
            <w:r>
              <w:rPr>
                <w:color w:val="auto"/>
              </w:rPr>
              <w:t>≤5μSv/周</w:t>
            </w:r>
          </w:p>
          <w:p>
            <w:pPr>
              <w:pStyle w:val="47"/>
              <w:rPr>
                <w:color w:val="auto"/>
              </w:rPr>
            </w:pPr>
            <w:r>
              <w:rPr>
                <w:color w:val="auto"/>
              </w:rPr>
              <w:t>2）相应</w:t>
            </w:r>
            <w:r>
              <w:rPr>
                <w:i/>
                <w:color w:val="auto"/>
              </w:rPr>
              <w:t>Hc</w:t>
            </w:r>
            <w:r>
              <w:rPr>
                <w:color w:val="auto"/>
              </w:rPr>
              <w:t>的导出剂量率参考控制水平</w:t>
            </w:r>
            <m:oMath>
              <m:sSub>
                <m:sSubPr>
                  <m:ctrlPr>
                    <w:rPr>
                      <w:rFonts w:ascii="Cambria Math" w:hAnsi="Cambria Math"/>
                      <w:color w:val="auto"/>
                    </w:rPr>
                  </m:ctrlPr>
                </m:sSubPr>
                <m:e>
                  <m:acc>
                    <m:accPr>
                      <m:chr m:val="̇"/>
                      <m:ctrlPr>
                        <w:rPr>
                          <w:rFonts w:ascii="Cambria Math" w:hAnsi="Cambria Math"/>
                          <w:color w:val="auto"/>
                        </w:rPr>
                      </m:ctrlPr>
                    </m:accPr>
                    <m:e>
                      <m:r>
                        <m:rPr/>
                        <w:rPr>
                          <w:rFonts w:ascii="Cambria Math" w:hAnsi="Cambria Math"/>
                          <w:color w:val="auto"/>
                        </w:rPr>
                        <m:t>H</m:t>
                      </m:r>
                      <m:ctrlPr>
                        <w:rPr>
                          <w:rFonts w:ascii="Cambria Math" w:hAnsi="Cambria Math"/>
                          <w:color w:val="auto"/>
                        </w:rPr>
                      </m:ctrlPr>
                    </m:e>
                  </m:acc>
                  <m:ctrlPr>
                    <w:rPr>
                      <w:rFonts w:ascii="Cambria Math" w:hAnsi="Cambria Math"/>
                      <w:color w:val="auto"/>
                    </w:rPr>
                  </m:ctrlPr>
                </m:e>
                <m:sub>
                  <m:r>
                    <m:rPr/>
                    <w:rPr>
                      <w:rFonts w:ascii="Cambria Math" w:hAnsi="Cambria Math"/>
                      <w:color w:val="auto"/>
                    </w:rPr>
                    <m:t>c∙d</m:t>
                  </m:r>
                  <m:ctrlPr>
                    <w:rPr>
                      <w:rFonts w:ascii="Cambria Math" w:hAnsi="Cambria Math"/>
                      <w:color w:val="auto"/>
                    </w:rPr>
                  </m:ctrlPr>
                </m:sub>
              </m:sSub>
            </m:oMath>
            <w:r>
              <w:rPr>
                <w:color w:val="auto"/>
              </w:rPr>
              <w:t>（μSv/h）按式（1）计算：</w:t>
            </w:r>
          </w:p>
          <w:p>
            <w:pPr>
              <w:pStyle w:val="47"/>
              <w:jc w:val="center"/>
              <w:rPr>
                <w:color w:val="auto"/>
              </w:rPr>
            </w:pPr>
            <m:oMath>
              <m:sSub>
                <m:sSubPr>
                  <m:ctrlPr>
                    <w:rPr>
                      <w:rFonts w:ascii="Cambria Math" w:hAnsi="Cambria Math"/>
                      <w:color w:val="auto"/>
                    </w:rPr>
                  </m:ctrlPr>
                </m:sSubPr>
                <m:e>
                  <m:acc>
                    <m:accPr>
                      <m:chr m:val="̇"/>
                      <m:ctrlPr>
                        <w:rPr>
                          <w:rFonts w:ascii="Cambria Math" w:hAnsi="Cambria Math"/>
                          <w:color w:val="auto"/>
                        </w:rPr>
                      </m:ctrlPr>
                    </m:accPr>
                    <m:e>
                      <m:r>
                        <m:rPr/>
                        <w:rPr>
                          <w:rFonts w:ascii="Cambria Math" w:hAnsi="Cambria Math"/>
                          <w:color w:val="auto"/>
                        </w:rPr>
                        <m:t>H</m:t>
                      </m:r>
                      <m:ctrlPr>
                        <w:rPr>
                          <w:rFonts w:ascii="Cambria Math" w:hAnsi="Cambria Math"/>
                          <w:color w:val="auto"/>
                        </w:rPr>
                      </m:ctrlPr>
                    </m:e>
                  </m:acc>
                  <m:ctrlPr>
                    <w:rPr>
                      <w:rFonts w:ascii="Cambria Math" w:hAnsi="Cambria Math"/>
                      <w:color w:val="auto"/>
                    </w:rPr>
                  </m:ctrlPr>
                </m:e>
                <m:sub>
                  <m:r>
                    <m:rPr/>
                    <w:rPr>
                      <w:rFonts w:ascii="Cambria Math" w:hAnsi="Cambria Math"/>
                      <w:color w:val="auto"/>
                    </w:rPr>
                    <m:t>c∙d</m:t>
                  </m:r>
                  <m:ctrlPr>
                    <w:rPr>
                      <w:rFonts w:ascii="Cambria Math" w:hAnsi="Cambria Math"/>
                      <w:color w:val="auto"/>
                    </w:rPr>
                  </m:ctrlPr>
                </m:sub>
              </m:sSub>
              <m:r>
                <m:rPr/>
                <w:rPr>
                  <w:rFonts w:ascii="Cambria Math" w:hAnsi="Cambria Math"/>
                  <w:color w:val="auto"/>
                </w:rPr>
                <m:t>=</m:t>
              </m:r>
              <m:f>
                <m:fPr>
                  <m:type m:val="lin"/>
                  <m:ctrlPr>
                    <w:rPr>
                      <w:rFonts w:ascii="Cambria Math" w:hAnsi="Cambria Math"/>
                      <w:color w:val="auto"/>
                    </w:rPr>
                  </m:ctrlPr>
                </m:fPr>
                <m:num>
                  <m:sSub>
                    <m:sSubPr>
                      <m:ctrlPr>
                        <w:rPr>
                          <w:rFonts w:ascii="Cambria Math" w:hAnsi="Cambria Math"/>
                          <w:color w:val="auto"/>
                        </w:rPr>
                      </m:ctrlPr>
                    </m:sSubPr>
                    <m:e>
                      <m:r>
                        <m:rPr/>
                        <w:rPr>
                          <w:rFonts w:ascii="Cambria Math" w:hAnsi="Cambria Math"/>
                          <w:color w:val="auto"/>
                        </w:rPr>
                        <m:t>H</m:t>
                      </m:r>
                      <m:ctrlPr>
                        <w:rPr>
                          <w:rFonts w:ascii="Cambria Math" w:hAnsi="Cambria Math"/>
                          <w:color w:val="auto"/>
                        </w:rPr>
                      </m:ctrlPr>
                    </m:e>
                    <m:sub>
                      <m:r>
                        <m:rPr/>
                        <w:rPr>
                          <w:rFonts w:ascii="Cambria Math" w:hAnsi="Cambria Math"/>
                          <w:color w:val="auto"/>
                        </w:rPr>
                        <m:t>c</m:t>
                      </m:r>
                      <m:ctrlPr>
                        <w:rPr>
                          <w:rFonts w:ascii="Cambria Math" w:hAnsi="Cambria Math"/>
                          <w:color w:val="auto"/>
                        </w:rPr>
                      </m:ctrlPr>
                    </m:sub>
                  </m:sSub>
                  <m:ctrlPr>
                    <w:rPr>
                      <w:rFonts w:ascii="Cambria Math" w:hAnsi="Cambria Math"/>
                      <w:color w:val="auto"/>
                    </w:rPr>
                  </m:ctrlPr>
                </m:num>
                <m:den>
                  <m:r>
                    <m:rPr/>
                    <w:rPr>
                      <w:rFonts w:ascii="Cambria Math" w:hAnsi="Cambria Math"/>
                      <w:color w:val="auto"/>
                    </w:rPr>
                    <m:t>t∙U∙T</m:t>
                  </m:r>
                  <m:ctrlPr>
                    <w:rPr>
                      <w:rFonts w:ascii="Cambria Math" w:hAnsi="Cambria Math"/>
                      <w:color w:val="auto"/>
                    </w:rPr>
                  </m:ctrlPr>
                </m:den>
              </m:f>
            </m:oMath>
            <w:r>
              <w:rPr>
                <w:color w:val="auto"/>
              </w:rPr>
              <w:tab/>
            </w:r>
            <w:r>
              <w:rPr>
                <w:rFonts w:hint="eastAsia"/>
                <w:color w:val="auto"/>
              </w:rPr>
              <w:tab/>
            </w:r>
            <w:r>
              <w:rPr>
                <w:color w:val="auto"/>
              </w:rPr>
              <w:tab/>
            </w:r>
            <w:r>
              <w:rPr>
                <w:color w:val="auto"/>
              </w:rPr>
              <w:t>（</w:t>
            </w:r>
            <w:r>
              <w:rPr>
                <w:rFonts w:hint="eastAsia"/>
                <w:color w:val="auto"/>
              </w:rPr>
              <w:t>1</w:t>
            </w:r>
            <w:r>
              <w:rPr>
                <w:color w:val="auto"/>
              </w:rPr>
              <w:t>）</w:t>
            </w:r>
          </w:p>
          <w:p>
            <w:pPr>
              <w:pStyle w:val="47"/>
              <w:rPr>
                <w:color w:val="auto"/>
              </w:rPr>
            </w:pPr>
            <w:r>
              <w:rPr>
                <w:color w:val="auto"/>
              </w:rPr>
              <w:t>式中：</w:t>
            </w:r>
            <w:r>
              <w:rPr>
                <w:rFonts w:hint="eastAsia"/>
                <w:color w:val="auto"/>
              </w:rPr>
              <w:tab/>
            </w:r>
            <m:oMath>
              <m:sSub>
                <m:sSubPr>
                  <m:ctrlPr>
                    <w:rPr>
                      <w:rFonts w:ascii="Cambria Math" w:hAnsi="Cambria Math"/>
                      <w:color w:val="auto"/>
                    </w:rPr>
                  </m:ctrlPr>
                </m:sSubPr>
                <m:e>
                  <m:r>
                    <m:rPr/>
                    <w:rPr>
                      <w:rFonts w:ascii="Cambria Math" w:hAnsi="Cambria Math"/>
                      <w:color w:val="auto"/>
                    </w:rPr>
                    <m:t>H</m:t>
                  </m:r>
                  <m:ctrlPr>
                    <w:rPr>
                      <w:rFonts w:ascii="Cambria Math" w:hAnsi="Cambria Math"/>
                      <w:color w:val="auto"/>
                    </w:rPr>
                  </m:ctrlPr>
                </m:e>
                <m:sub>
                  <m:r>
                    <m:rPr/>
                    <w:rPr>
                      <w:rFonts w:ascii="Cambria Math" w:hAnsi="Cambria Math"/>
                      <w:color w:val="auto"/>
                    </w:rPr>
                    <m:t>c</m:t>
                  </m:r>
                  <m:ctrlPr>
                    <w:rPr>
                      <w:rFonts w:ascii="Cambria Math" w:hAnsi="Cambria Math"/>
                      <w:color w:val="auto"/>
                    </w:rPr>
                  </m:ctrlPr>
                </m:sub>
              </m:sSub>
            </m:oMath>
            <w:r>
              <w:rPr>
                <w:color w:val="auto"/>
              </w:rPr>
              <w:t>——周剂量参考控制水平，单位为微希每周（μSv/周）；</w:t>
            </w:r>
          </w:p>
          <w:p>
            <w:pPr>
              <w:pStyle w:val="47"/>
              <w:rPr>
                <w:color w:val="auto"/>
              </w:rPr>
            </w:pPr>
            <w:r>
              <w:rPr>
                <w:color w:val="auto"/>
              </w:rPr>
              <w:tab/>
            </w:r>
            <w:r>
              <w:rPr>
                <w:rFonts w:hint="eastAsia"/>
                <w:color w:val="auto"/>
              </w:rPr>
              <w:tab/>
            </w:r>
            <m:oMath>
              <m:r>
                <m:rPr/>
                <w:rPr>
                  <w:rFonts w:ascii="Cambria Math" w:hAnsi="Cambria Math"/>
                  <w:color w:val="auto"/>
                </w:rPr>
                <m:t>U</m:t>
              </m:r>
            </m:oMath>
            <w:r>
              <w:rPr>
                <w:color w:val="auto"/>
              </w:rPr>
              <w:t>——探伤装置向关注点方向照射的使用因子；</w:t>
            </w:r>
          </w:p>
          <w:p>
            <w:pPr>
              <w:pStyle w:val="47"/>
              <w:rPr>
                <w:color w:val="auto"/>
              </w:rPr>
            </w:pPr>
            <w:r>
              <w:rPr>
                <w:rFonts w:hint="eastAsia"/>
                <w:color w:val="auto"/>
              </w:rPr>
              <w:tab/>
            </w:r>
            <w:r>
              <w:rPr>
                <w:color w:val="auto"/>
              </w:rPr>
              <w:tab/>
            </w:r>
            <m:oMath>
              <m:r>
                <m:rPr/>
                <w:rPr>
                  <w:rFonts w:ascii="Cambria Math" w:hAnsi="Cambria Math"/>
                  <w:color w:val="auto"/>
                </w:rPr>
                <m:t>T</m:t>
              </m:r>
            </m:oMath>
            <w:r>
              <w:rPr>
                <w:color w:val="auto"/>
              </w:rPr>
              <w:t>——人员在相应关注点驻留的居留因子；</w:t>
            </w:r>
          </w:p>
          <w:p>
            <w:pPr>
              <w:pStyle w:val="47"/>
              <w:rPr>
                <w:color w:val="auto"/>
              </w:rPr>
            </w:pPr>
            <w:r>
              <w:rPr>
                <w:rFonts w:hint="eastAsia"/>
                <w:color w:val="auto"/>
              </w:rPr>
              <w:tab/>
            </w:r>
            <w:r>
              <w:rPr>
                <w:color w:val="auto"/>
              </w:rPr>
              <w:tab/>
            </w:r>
            <m:oMath>
              <m:r>
                <m:rPr/>
                <w:rPr>
                  <w:rFonts w:ascii="Cambria Math" w:hAnsi="Cambria Math"/>
                  <w:color w:val="auto"/>
                </w:rPr>
                <m:t>t</m:t>
              </m:r>
            </m:oMath>
            <w:r>
              <w:rPr>
                <w:color w:val="auto"/>
              </w:rPr>
              <w:t>——探伤装置周照射时间，单位为小时每周（h/周）。</w:t>
            </w:r>
          </w:p>
          <w:p>
            <w:pPr>
              <w:pStyle w:val="47"/>
              <w:rPr>
                <w:color w:val="auto"/>
              </w:rPr>
            </w:pPr>
            <w:r>
              <w:rPr>
                <w:color w:val="auto"/>
              </w:rPr>
              <w:t>t按式（2）计算：</w:t>
            </w:r>
          </w:p>
          <w:p>
            <w:pPr>
              <w:pStyle w:val="47"/>
              <w:jc w:val="center"/>
              <w:rPr>
                <w:color w:val="auto"/>
              </w:rPr>
            </w:pPr>
            <m:oMath>
              <m:r>
                <m:rPr/>
                <w:rPr>
                  <w:rFonts w:ascii="Cambria Math" w:hAnsi="Cambria Math"/>
                  <w:color w:val="auto"/>
                </w:rPr>
                <m:t>t=</m:t>
              </m:r>
              <m:f>
                <m:fPr>
                  <m:ctrlPr>
                    <w:rPr>
                      <w:rFonts w:ascii="Cambria Math" w:hAnsi="Cambria Math"/>
                      <w:i/>
                      <w:color w:val="auto"/>
                    </w:rPr>
                  </m:ctrlPr>
                </m:fPr>
                <m:num>
                  <m:r>
                    <m:rPr/>
                    <w:rPr>
                      <w:rFonts w:ascii="Cambria Math" w:hAnsi="Cambria Math"/>
                      <w:color w:val="auto"/>
                    </w:rPr>
                    <m:t>W</m:t>
                  </m:r>
                  <m:ctrlPr>
                    <w:rPr>
                      <w:rFonts w:ascii="Cambria Math" w:hAnsi="Cambria Math"/>
                      <w:i/>
                      <w:color w:val="auto"/>
                    </w:rPr>
                  </m:ctrlPr>
                </m:num>
                <m:den>
                  <m:r>
                    <m:rPr/>
                    <w:rPr>
                      <w:rFonts w:ascii="Cambria Math" w:hAnsi="Cambria Math"/>
                      <w:color w:val="auto"/>
                    </w:rPr>
                    <m:t>60∙I</m:t>
                  </m:r>
                  <m:ctrlPr>
                    <w:rPr>
                      <w:rFonts w:ascii="Cambria Math" w:hAnsi="Cambria Math"/>
                      <w:i/>
                      <w:color w:val="auto"/>
                    </w:rPr>
                  </m:ctrlPr>
                </m:den>
              </m:f>
            </m:oMath>
            <w:r>
              <w:rPr>
                <w:rFonts w:hint="eastAsia"/>
                <w:color w:val="auto"/>
              </w:rPr>
              <w:tab/>
            </w:r>
            <w:r>
              <w:rPr>
                <w:color w:val="auto"/>
              </w:rPr>
              <w:tab/>
            </w:r>
            <w:r>
              <w:rPr>
                <w:rFonts w:hint="eastAsia"/>
                <w:color w:val="auto"/>
              </w:rPr>
              <w:tab/>
            </w:r>
            <w:r>
              <w:rPr>
                <w:rFonts w:hint="eastAsia"/>
                <w:color w:val="auto"/>
              </w:rPr>
              <w:t>（2）</w:t>
            </w:r>
          </w:p>
          <w:p>
            <w:pPr>
              <w:pStyle w:val="47"/>
              <w:rPr>
                <w:color w:val="auto"/>
              </w:rPr>
            </w:pPr>
            <w:r>
              <w:rPr>
                <w:color w:val="auto"/>
              </w:rPr>
              <w:t>式中：</w:t>
            </w:r>
            <w:r>
              <w:rPr>
                <w:rFonts w:hint="eastAsia"/>
                <w:color w:val="auto"/>
              </w:rPr>
              <w:tab/>
            </w:r>
            <m:oMath>
              <m:r>
                <m:rPr/>
                <w:rPr>
                  <w:rFonts w:ascii="Cambria Math" w:hAnsi="Cambria Math"/>
                  <w:color w:val="auto"/>
                </w:rPr>
                <m:t>W</m:t>
              </m:r>
            </m:oMath>
            <w:r>
              <w:rPr>
                <w:color w:val="auto"/>
              </w:rPr>
              <w:t>——X射线探伤的周工作负荷（平均每周X射线探伤照射的累积“mA·min”值），mA·min/周</w:t>
            </w:r>
          </w:p>
          <w:p>
            <w:pPr>
              <w:pStyle w:val="47"/>
              <w:rPr>
                <w:color w:val="auto"/>
              </w:rPr>
            </w:pPr>
            <w:r>
              <w:rPr>
                <w:rFonts w:hint="eastAsia"/>
                <w:color w:val="auto"/>
              </w:rPr>
              <w:tab/>
            </w:r>
            <w:r>
              <w:rPr>
                <w:color w:val="auto"/>
              </w:rPr>
              <w:tab/>
            </w:r>
            <m:oMath>
              <m:r>
                <m:rPr/>
                <w:rPr>
                  <w:rFonts w:ascii="Cambria Math" w:hAnsi="Cambria Math"/>
                  <w:color w:val="auto"/>
                </w:rPr>
                <m:t>60</m:t>
              </m:r>
            </m:oMath>
            <w:r>
              <w:rPr>
                <w:color w:val="auto"/>
              </w:rPr>
              <w:t>——小时与分钟的换算关系；</w:t>
            </w:r>
          </w:p>
          <w:p>
            <w:pPr>
              <w:pStyle w:val="47"/>
              <w:rPr>
                <w:color w:val="auto"/>
              </w:rPr>
            </w:pPr>
            <w:r>
              <w:rPr>
                <w:rFonts w:hint="eastAsia"/>
                <w:color w:val="auto"/>
              </w:rPr>
              <w:tab/>
            </w:r>
            <w:r>
              <w:rPr>
                <w:color w:val="auto"/>
              </w:rPr>
              <w:tab/>
            </w:r>
            <m:oMath>
              <m:r>
                <m:rPr/>
                <w:rPr>
                  <w:rFonts w:ascii="Cambria Math" w:hAnsi="Cambria Math"/>
                  <w:color w:val="auto"/>
                </w:rPr>
                <m:t>I</m:t>
              </m:r>
            </m:oMath>
            <w:r>
              <w:rPr>
                <w:color w:val="auto"/>
              </w:rPr>
              <w:t>——X射线探伤装置在最高管电压下的常用最大管电流，单位为毫安（mA）。</w:t>
            </w:r>
          </w:p>
          <w:p>
            <w:pPr>
              <w:pStyle w:val="47"/>
              <w:rPr>
                <w:color w:val="auto"/>
              </w:rPr>
            </w:pPr>
            <w:r>
              <w:rPr>
                <w:color w:val="auto"/>
              </w:rPr>
              <w:t>b)关注点最高剂量率参考控制水平</w:t>
            </w:r>
            <m:oMath>
              <m:sSub>
                <m:sSubPr>
                  <m:ctrlPr>
                    <w:rPr>
                      <w:rFonts w:ascii="Cambria Math" w:hAnsi="Cambria Math"/>
                      <w:color w:val="auto"/>
                    </w:rPr>
                  </m:ctrlPr>
                </m:sSubPr>
                <m:e>
                  <m:acc>
                    <m:accPr>
                      <m:chr m:val="̇"/>
                      <m:ctrlPr>
                        <w:rPr>
                          <w:rFonts w:ascii="Cambria Math" w:hAnsi="Cambria Math"/>
                          <w:color w:val="auto"/>
                        </w:rPr>
                      </m:ctrlPr>
                    </m:accPr>
                    <m:e>
                      <m:r>
                        <m:rPr/>
                        <w:rPr>
                          <w:rFonts w:ascii="Cambria Math" w:hAnsi="Cambria Math"/>
                          <w:color w:val="auto"/>
                        </w:rPr>
                        <m:t>H</m:t>
                      </m:r>
                      <m:ctrlPr>
                        <w:rPr>
                          <w:rFonts w:ascii="Cambria Math" w:hAnsi="Cambria Math"/>
                          <w:color w:val="auto"/>
                        </w:rPr>
                      </m:ctrlPr>
                    </m:e>
                  </m:acc>
                  <m:ctrlPr>
                    <w:rPr>
                      <w:rFonts w:ascii="Cambria Math" w:hAnsi="Cambria Math"/>
                      <w:color w:val="auto"/>
                    </w:rPr>
                  </m:ctrlPr>
                </m:e>
                <m:sub>
                  <m:r>
                    <m:rPr/>
                    <w:rPr>
                      <w:rFonts w:ascii="Cambria Math" w:hAnsi="Cambria Math"/>
                      <w:color w:val="auto"/>
                    </w:rPr>
                    <m:t>c∙max</m:t>
                  </m:r>
                  <m:ctrlPr>
                    <w:rPr>
                      <w:rFonts w:ascii="Cambria Math" w:hAnsi="Cambria Math"/>
                      <w:color w:val="auto"/>
                    </w:rPr>
                  </m:ctrlPr>
                </m:sub>
              </m:sSub>
            </m:oMath>
          </w:p>
          <w:p>
            <w:pPr>
              <w:pStyle w:val="47"/>
              <w:rPr>
                <w:color w:val="auto"/>
              </w:rPr>
            </w:pPr>
            <m:oMathPara>
              <m:oMath>
                <m:sSub>
                  <m:sSubPr>
                    <m:ctrlPr>
                      <w:rPr>
                        <w:rFonts w:ascii="Cambria Math" w:hAnsi="Cambria Math"/>
                        <w:color w:val="auto"/>
                      </w:rPr>
                    </m:ctrlPr>
                  </m:sSubPr>
                  <m:e>
                    <m:acc>
                      <m:accPr>
                        <m:chr m:val="̇"/>
                        <m:ctrlPr>
                          <w:rPr>
                            <w:rFonts w:ascii="Cambria Math" w:hAnsi="Cambria Math"/>
                            <w:color w:val="auto"/>
                          </w:rPr>
                        </m:ctrlPr>
                      </m:accPr>
                      <m:e>
                        <m:r>
                          <m:rPr/>
                          <w:rPr>
                            <w:rFonts w:ascii="Cambria Math" w:hAnsi="Cambria Math"/>
                            <w:color w:val="auto"/>
                          </w:rPr>
                          <m:t>H</m:t>
                        </m:r>
                        <m:ctrlPr>
                          <w:rPr>
                            <w:rFonts w:ascii="Cambria Math" w:hAnsi="Cambria Math"/>
                            <w:color w:val="auto"/>
                          </w:rPr>
                        </m:ctrlPr>
                      </m:e>
                    </m:acc>
                    <m:ctrlPr>
                      <w:rPr>
                        <w:rFonts w:ascii="Cambria Math" w:hAnsi="Cambria Math"/>
                        <w:color w:val="auto"/>
                      </w:rPr>
                    </m:ctrlPr>
                  </m:e>
                  <m:sub>
                    <m:r>
                      <m:rPr/>
                      <w:rPr>
                        <w:rFonts w:ascii="Cambria Math" w:hAnsi="Cambria Math"/>
                        <w:color w:val="auto"/>
                      </w:rPr>
                      <m:t>c∙max</m:t>
                    </m:r>
                    <m:ctrlPr>
                      <w:rPr>
                        <w:rFonts w:ascii="Cambria Math" w:hAnsi="Cambria Math"/>
                        <w:color w:val="auto"/>
                      </w:rPr>
                    </m:ctrlPr>
                  </m:sub>
                </m:sSub>
                <m:r>
                  <m:rPr>
                    <m:sty m:val="p"/>
                  </m:rPr>
                  <w:rPr>
                    <w:rFonts w:ascii="Cambria Math" w:hAnsi="Cambria Math"/>
                    <w:color w:val="auto"/>
                  </w:rPr>
                  <m:t>=2.5μSv/h</m:t>
                </m:r>
              </m:oMath>
            </m:oMathPara>
          </w:p>
          <w:p>
            <w:pPr>
              <w:pStyle w:val="47"/>
              <w:rPr>
                <w:color w:val="auto"/>
              </w:rPr>
            </w:pPr>
            <w:r>
              <w:rPr>
                <w:color w:val="auto"/>
              </w:rPr>
              <w:t>c)关注点剂量率参考控制水平</w:t>
            </w:r>
            <m:oMath>
              <m:sSub>
                <m:sSubPr>
                  <m:ctrlPr>
                    <w:rPr>
                      <w:rFonts w:ascii="Cambria Math" w:hAnsi="Cambria Math"/>
                      <w:color w:val="auto"/>
                    </w:rPr>
                  </m:ctrlPr>
                </m:sSubPr>
                <m:e>
                  <m:acc>
                    <m:accPr>
                      <m:chr m:val="̇"/>
                      <m:ctrlPr>
                        <w:rPr>
                          <w:rFonts w:ascii="Cambria Math" w:hAnsi="Cambria Math"/>
                          <w:color w:val="auto"/>
                        </w:rPr>
                      </m:ctrlPr>
                    </m:accPr>
                    <m:e>
                      <m:r>
                        <m:rPr/>
                        <w:rPr>
                          <w:rFonts w:ascii="Cambria Math" w:hAnsi="Cambria Math"/>
                          <w:color w:val="auto"/>
                        </w:rPr>
                        <m:t>H</m:t>
                      </m:r>
                      <m:ctrlPr>
                        <w:rPr>
                          <w:rFonts w:ascii="Cambria Math" w:hAnsi="Cambria Math"/>
                          <w:color w:val="auto"/>
                        </w:rPr>
                      </m:ctrlPr>
                    </m:e>
                  </m:acc>
                  <m:ctrlPr>
                    <w:rPr>
                      <w:rFonts w:ascii="Cambria Math" w:hAnsi="Cambria Math"/>
                      <w:color w:val="auto"/>
                    </w:rPr>
                  </m:ctrlPr>
                </m:e>
                <m:sub>
                  <m:r>
                    <m:rPr/>
                    <w:rPr>
                      <w:rFonts w:ascii="Cambria Math" w:hAnsi="Cambria Math"/>
                      <w:color w:val="auto"/>
                    </w:rPr>
                    <m:t>c</m:t>
                  </m:r>
                  <m:ctrlPr>
                    <w:rPr>
                      <w:rFonts w:ascii="Cambria Math" w:hAnsi="Cambria Math"/>
                      <w:color w:val="auto"/>
                    </w:rPr>
                  </m:ctrlPr>
                </m:sub>
              </m:sSub>
            </m:oMath>
            <w:r>
              <w:rPr>
                <w:color w:val="auto"/>
              </w:rPr>
              <w:t>：</w:t>
            </w:r>
          </w:p>
          <w:p>
            <w:pPr>
              <w:pStyle w:val="47"/>
              <w:rPr>
                <w:color w:val="auto"/>
              </w:rPr>
            </w:pPr>
            <m:oMath>
              <m:sSub>
                <m:sSubPr>
                  <m:ctrlPr>
                    <w:rPr>
                      <w:rFonts w:ascii="Cambria Math" w:hAnsi="Cambria Math"/>
                      <w:color w:val="auto"/>
                    </w:rPr>
                  </m:ctrlPr>
                </m:sSubPr>
                <m:e>
                  <m:acc>
                    <m:accPr>
                      <m:chr m:val="̇"/>
                      <m:ctrlPr>
                        <w:rPr>
                          <w:rFonts w:ascii="Cambria Math" w:hAnsi="Cambria Math"/>
                          <w:color w:val="auto"/>
                        </w:rPr>
                      </m:ctrlPr>
                    </m:accPr>
                    <m:e>
                      <m:r>
                        <m:rPr/>
                        <w:rPr>
                          <w:rFonts w:ascii="Cambria Math" w:hAnsi="Cambria Math"/>
                          <w:color w:val="auto"/>
                        </w:rPr>
                        <m:t>H</m:t>
                      </m:r>
                      <m:ctrlPr>
                        <w:rPr>
                          <w:rFonts w:ascii="Cambria Math" w:hAnsi="Cambria Math"/>
                          <w:color w:val="auto"/>
                        </w:rPr>
                      </m:ctrlPr>
                    </m:e>
                  </m:acc>
                  <m:ctrlPr>
                    <w:rPr>
                      <w:rFonts w:ascii="Cambria Math" w:hAnsi="Cambria Math"/>
                      <w:color w:val="auto"/>
                    </w:rPr>
                  </m:ctrlPr>
                </m:e>
                <m:sub>
                  <m:r>
                    <m:rPr/>
                    <w:rPr>
                      <w:rFonts w:ascii="Cambria Math" w:hAnsi="Cambria Math"/>
                      <w:color w:val="auto"/>
                    </w:rPr>
                    <m:t>c</m:t>
                  </m:r>
                  <m:ctrlPr>
                    <w:rPr>
                      <w:rFonts w:ascii="Cambria Math" w:hAnsi="Cambria Math"/>
                      <w:color w:val="auto"/>
                    </w:rPr>
                  </m:ctrlPr>
                </m:sub>
              </m:sSub>
            </m:oMath>
            <w:r>
              <w:rPr>
                <w:color w:val="auto"/>
              </w:rPr>
              <w:t>为上述a）中的</w:t>
            </w:r>
            <m:oMath>
              <m:sSub>
                <m:sSubPr>
                  <m:ctrlPr>
                    <w:rPr>
                      <w:rFonts w:ascii="Cambria Math" w:hAnsi="Cambria Math"/>
                      <w:color w:val="auto"/>
                    </w:rPr>
                  </m:ctrlPr>
                </m:sSubPr>
                <m:e>
                  <m:acc>
                    <m:accPr>
                      <m:chr m:val="̇"/>
                      <m:ctrlPr>
                        <w:rPr>
                          <w:rFonts w:ascii="Cambria Math" w:hAnsi="Cambria Math"/>
                          <w:color w:val="auto"/>
                        </w:rPr>
                      </m:ctrlPr>
                    </m:accPr>
                    <m:e>
                      <m:r>
                        <m:rPr/>
                        <w:rPr>
                          <w:rFonts w:ascii="Cambria Math" w:hAnsi="Cambria Math"/>
                          <w:color w:val="auto"/>
                        </w:rPr>
                        <m:t>H</m:t>
                      </m:r>
                      <m:ctrlPr>
                        <w:rPr>
                          <w:rFonts w:ascii="Cambria Math" w:hAnsi="Cambria Math"/>
                          <w:color w:val="auto"/>
                        </w:rPr>
                      </m:ctrlPr>
                    </m:e>
                  </m:acc>
                  <m:ctrlPr>
                    <w:rPr>
                      <w:rFonts w:ascii="Cambria Math" w:hAnsi="Cambria Math"/>
                      <w:color w:val="auto"/>
                    </w:rPr>
                  </m:ctrlPr>
                </m:e>
                <m:sub>
                  <m:r>
                    <m:rPr/>
                    <w:rPr>
                      <w:rFonts w:ascii="Cambria Math" w:hAnsi="Cambria Math"/>
                      <w:color w:val="auto"/>
                    </w:rPr>
                    <m:t>c∙d</m:t>
                  </m:r>
                  <m:ctrlPr>
                    <w:rPr>
                      <w:rFonts w:ascii="Cambria Math" w:hAnsi="Cambria Math"/>
                      <w:color w:val="auto"/>
                    </w:rPr>
                  </m:ctrlPr>
                </m:sub>
              </m:sSub>
            </m:oMath>
            <w:r>
              <w:rPr>
                <w:color w:val="auto"/>
              </w:rPr>
              <w:t>和b）中的</w:t>
            </w:r>
            <m:oMath>
              <m:sSub>
                <m:sSubPr>
                  <m:ctrlPr>
                    <w:rPr>
                      <w:rFonts w:ascii="Cambria Math" w:hAnsi="Cambria Math"/>
                      <w:color w:val="auto"/>
                    </w:rPr>
                  </m:ctrlPr>
                </m:sSubPr>
                <m:e>
                  <m:acc>
                    <m:accPr>
                      <m:chr m:val="̇"/>
                      <m:ctrlPr>
                        <w:rPr>
                          <w:rFonts w:ascii="Cambria Math" w:hAnsi="Cambria Math"/>
                          <w:color w:val="auto"/>
                        </w:rPr>
                      </m:ctrlPr>
                    </m:accPr>
                    <m:e>
                      <m:r>
                        <m:rPr/>
                        <w:rPr>
                          <w:rFonts w:ascii="Cambria Math" w:hAnsi="Cambria Math"/>
                          <w:color w:val="auto"/>
                        </w:rPr>
                        <m:t>H</m:t>
                      </m:r>
                      <m:ctrlPr>
                        <w:rPr>
                          <w:rFonts w:ascii="Cambria Math" w:hAnsi="Cambria Math"/>
                          <w:color w:val="auto"/>
                        </w:rPr>
                      </m:ctrlPr>
                    </m:e>
                  </m:acc>
                  <m:ctrlPr>
                    <w:rPr>
                      <w:rFonts w:ascii="Cambria Math" w:hAnsi="Cambria Math"/>
                      <w:color w:val="auto"/>
                    </w:rPr>
                  </m:ctrlPr>
                </m:e>
                <m:sub>
                  <m:r>
                    <m:rPr/>
                    <w:rPr>
                      <w:rFonts w:ascii="Cambria Math" w:hAnsi="Cambria Math"/>
                      <w:color w:val="auto"/>
                    </w:rPr>
                    <m:t>c∙max</m:t>
                  </m:r>
                  <m:ctrlPr>
                    <w:rPr>
                      <w:rFonts w:ascii="Cambria Math" w:hAnsi="Cambria Math"/>
                      <w:color w:val="auto"/>
                    </w:rPr>
                  </m:ctrlPr>
                </m:sub>
              </m:sSub>
            </m:oMath>
            <w:r>
              <w:rPr>
                <w:color w:val="auto"/>
              </w:rPr>
              <w:t>二者的较小值。</w:t>
            </w:r>
          </w:p>
          <w:p>
            <w:pPr>
              <w:pStyle w:val="42"/>
              <w:rPr>
                <w:color w:val="auto"/>
              </w:rPr>
            </w:pPr>
            <w:r>
              <w:rPr>
                <w:color w:val="auto"/>
              </w:rPr>
              <w:t>第3.2条需要屏蔽的辐射</w:t>
            </w:r>
          </w:p>
          <w:p>
            <w:pPr>
              <w:pStyle w:val="47"/>
              <w:rPr>
                <w:color w:val="auto"/>
              </w:rPr>
            </w:pPr>
            <w:r>
              <w:rPr>
                <w:color w:val="auto"/>
              </w:rPr>
              <w:t>第3.2.1条相应有用线束的整个墙面均考虑有用线束屏蔽，不需要考虑进入有用线束区的散射辐射。</w:t>
            </w:r>
          </w:p>
          <w:p>
            <w:pPr>
              <w:pStyle w:val="47"/>
              <w:rPr>
                <w:color w:val="auto"/>
              </w:rPr>
            </w:pPr>
            <w:r>
              <w:rPr>
                <w:color w:val="auto"/>
              </w:rPr>
              <w:t>第3.2.2条散射辐射考虑以0°入射探伤工件的90°散射辐射。</w:t>
            </w:r>
          </w:p>
          <w:p>
            <w:pPr>
              <w:pStyle w:val="47"/>
              <w:rPr>
                <w:color w:val="auto"/>
              </w:rPr>
            </w:pPr>
            <w:r>
              <w:rPr>
                <w:color w:val="auto"/>
              </w:rPr>
              <w:t>第3.2.3条当可能存在泄漏辐射和散射辐射的复合作用时，通常分别估算泄漏辐射和各项散射辐射，当它们的屏蔽厚度相差一个什值层厚度（TVL）或更大时，采用其中较厚的屏蔽，当相差不足一个TVL时，则在较厚的屏蔽上增加一个半值层厚度（HVL）。</w:t>
            </w:r>
          </w:p>
          <w:p>
            <w:pPr>
              <w:pStyle w:val="42"/>
              <w:rPr>
                <w:color w:val="auto"/>
              </w:rPr>
            </w:pPr>
            <w:r>
              <w:rPr>
                <w:color w:val="auto"/>
              </w:rPr>
              <w:t>第3.3条其他要求</w:t>
            </w:r>
          </w:p>
          <w:p>
            <w:pPr>
              <w:pStyle w:val="47"/>
              <w:rPr>
                <w:color w:val="auto"/>
              </w:rPr>
            </w:pPr>
            <w:r>
              <w:rPr>
                <w:color w:val="auto"/>
              </w:rPr>
              <w:t>第3.3.1条探伤室一般应设有人员门和单独的工件门，对于探伤可人工搬运的小型工件探伤室，可以仅设人员门，探伤室人员门宜采用迷路形式。</w:t>
            </w:r>
          </w:p>
          <w:p>
            <w:pPr>
              <w:pStyle w:val="47"/>
              <w:rPr>
                <w:color w:val="auto"/>
              </w:rPr>
            </w:pPr>
            <w:r>
              <w:rPr>
                <w:color w:val="auto"/>
              </w:rPr>
              <w:t>第3.3.2条探伤装置的控制室应置于探伤室外，控制室和人员门应避开有用线束照射的方向。</w:t>
            </w:r>
          </w:p>
          <w:p>
            <w:pPr>
              <w:pStyle w:val="47"/>
              <w:rPr>
                <w:color w:val="auto"/>
              </w:rPr>
            </w:pPr>
            <w:r>
              <w:rPr>
                <w:color w:val="auto"/>
              </w:rPr>
              <w:t>第3.3.3条屏蔽设计中，应考虑缝隙、管孔和薄弱环节的屏蔽。</w:t>
            </w:r>
          </w:p>
          <w:p>
            <w:pPr>
              <w:pStyle w:val="47"/>
              <w:rPr>
                <w:color w:val="auto"/>
              </w:rPr>
            </w:pPr>
            <w:r>
              <w:rPr>
                <w:color w:val="auto"/>
              </w:rPr>
              <w:t>第3.3.4条当探伤室使用多台X射线探伤装置时，按最高管电压和相应该管电压下的常用最大管电流设计屏蔽。</w:t>
            </w:r>
          </w:p>
          <w:p>
            <w:pPr>
              <w:pStyle w:val="47"/>
              <w:rPr>
                <w:color w:val="auto"/>
              </w:rPr>
            </w:pPr>
            <w:r>
              <w:rPr>
                <w:color w:val="auto"/>
              </w:rPr>
              <w:t>第3.3.5条应考虑探伤室结构、建筑费用及所占空间，常用的材料为混凝土、铅和钢板等。</w:t>
            </w:r>
          </w:p>
          <w:p>
            <w:pPr>
              <w:pStyle w:val="42"/>
              <w:rPr>
                <w:color w:val="000000" w:themeColor="text1"/>
                <w14:textFill>
                  <w14:solidFill>
                    <w14:schemeClr w14:val="tx1"/>
                  </w14:solidFill>
                </w14:textFill>
              </w:rPr>
            </w:pPr>
            <w:r>
              <w:rPr>
                <w:color w:val="000000" w:themeColor="text1"/>
                <w14:textFill>
                  <w14:solidFill>
                    <w14:schemeClr w14:val="tx1"/>
                  </w14:solidFill>
                </w14:textFill>
              </w:rPr>
              <w:t>（4）《危险废物贮存污染控制标准》（GB18597－2001）（2013年修订）</w:t>
            </w:r>
          </w:p>
          <w:p>
            <w:pPr>
              <w:pStyle w:val="47"/>
              <w:rPr>
                <w:color w:val="000000" w:themeColor="text1"/>
                <w14:textFill>
                  <w14:solidFill>
                    <w14:schemeClr w14:val="tx1"/>
                  </w14:solidFill>
                </w14:textFill>
              </w:rPr>
            </w:pPr>
            <w:r>
              <w:rPr>
                <w:color w:val="000000" w:themeColor="text1"/>
                <w14:textFill>
                  <w14:solidFill>
                    <w14:schemeClr w14:val="tx1"/>
                  </w14:solidFill>
                </w14:textFill>
              </w:rPr>
              <w:t>第4.1条所有危险废物产生者和危险废物经营者应建造专用的危险废物贮存设施，也可利用原有构筑物改建成危险废物贮存设施。</w:t>
            </w:r>
          </w:p>
          <w:p>
            <w:pPr>
              <w:pStyle w:val="47"/>
              <w:rPr>
                <w:color w:val="000000" w:themeColor="text1"/>
                <w14:textFill>
                  <w14:solidFill>
                    <w14:schemeClr w14:val="tx1"/>
                  </w14:solidFill>
                </w14:textFill>
              </w:rPr>
            </w:pPr>
            <w:r>
              <w:rPr>
                <w:color w:val="000000" w:themeColor="text1"/>
                <w14:textFill>
                  <w14:solidFill>
                    <w14:schemeClr w14:val="tx1"/>
                  </w14:solidFill>
                </w14:textFill>
              </w:rPr>
              <w:t>第4.4条除4.3规定外，必须将危险废物装入容器内。</w:t>
            </w:r>
          </w:p>
          <w:p>
            <w:pPr>
              <w:pStyle w:val="47"/>
              <w:rPr>
                <w:color w:val="000000" w:themeColor="text1"/>
                <w14:textFill>
                  <w14:solidFill>
                    <w14:schemeClr w14:val="tx1"/>
                  </w14:solidFill>
                </w14:textFill>
              </w:rPr>
            </w:pPr>
            <w:r>
              <w:rPr>
                <w:color w:val="000000" w:themeColor="text1"/>
                <w14:textFill>
                  <w14:solidFill>
                    <w14:schemeClr w14:val="tx1"/>
                  </w14:solidFill>
                </w14:textFill>
              </w:rPr>
              <w:t>第4.9条盛装危险废物的容器上必须粘贴符合本标准附录A所示的标签。</w:t>
            </w:r>
          </w:p>
          <w:p>
            <w:pPr>
              <w:pStyle w:val="47"/>
              <w:rPr>
                <w:color w:val="000000" w:themeColor="text1"/>
                <w14:textFill>
                  <w14:solidFill>
                    <w14:schemeClr w14:val="tx1"/>
                  </w14:solidFill>
                </w14:textFill>
              </w:rPr>
            </w:pPr>
            <w:r>
              <w:rPr>
                <w:color w:val="000000" w:themeColor="text1"/>
                <w14:textFill>
                  <w14:solidFill>
                    <w14:schemeClr w14:val="tx1"/>
                  </w14:solidFill>
                </w14:textFill>
              </w:rPr>
              <w:t>第5.1条应当使用符合标准的容器盛装危险废物。</w:t>
            </w:r>
          </w:p>
          <w:p>
            <w:pPr>
              <w:pStyle w:val="47"/>
              <w:rPr>
                <w:color w:val="000000" w:themeColor="text1"/>
                <w14:textFill>
                  <w14:solidFill>
                    <w14:schemeClr w14:val="tx1"/>
                  </w14:solidFill>
                </w14:textFill>
              </w:rPr>
            </w:pPr>
            <w:r>
              <w:rPr>
                <w:color w:val="000000" w:themeColor="text1"/>
                <w14:textFill>
                  <w14:solidFill>
                    <w14:schemeClr w14:val="tx1"/>
                  </w14:solidFill>
                </w14:textFill>
              </w:rPr>
              <w:t>第5.2条装载危险废物的容器及材质要满足相应的强度要求。</w:t>
            </w:r>
          </w:p>
          <w:p>
            <w:pPr>
              <w:pStyle w:val="47"/>
              <w:rPr>
                <w:color w:val="000000" w:themeColor="text1"/>
                <w14:textFill>
                  <w14:solidFill>
                    <w14:schemeClr w14:val="tx1"/>
                  </w14:solidFill>
                </w14:textFill>
              </w:rPr>
            </w:pPr>
            <w:r>
              <w:rPr>
                <w:color w:val="000000" w:themeColor="text1"/>
                <w14:textFill>
                  <w14:solidFill>
                    <w14:schemeClr w14:val="tx1"/>
                  </w14:solidFill>
                </w14:textFill>
              </w:rPr>
              <w:t>第5.3条装载危险废物的容器必须完好无损。</w:t>
            </w:r>
          </w:p>
          <w:p>
            <w:pPr>
              <w:pStyle w:val="47"/>
              <w:rPr>
                <w:color w:val="000000" w:themeColor="text1"/>
                <w14:textFill>
                  <w14:solidFill>
                    <w14:schemeClr w14:val="tx1"/>
                  </w14:solidFill>
                </w14:textFill>
              </w:rPr>
            </w:pPr>
            <w:r>
              <w:rPr>
                <w:color w:val="000000" w:themeColor="text1"/>
                <w14:textFill>
                  <w14:solidFill>
                    <w14:schemeClr w14:val="tx1"/>
                  </w14:solidFill>
                </w14:textFill>
              </w:rPr>
              <w:t>第5.4条盛装危险废物的容器材质和衬里要与危险废物相容（不相互反应）。</w:t>
            </w:r>
          </w:p>
          <w:p>
            <w:pPr>
              <w:pStyle w:val="47"/>
              <w:rPr>
                <w:color w:val="000000" w:themeColor="text1"/>
                <w14:textFill>
                  <w14:solidFill>
                    <w14:schemeClr w14:val="tx1"/>
                  </w14:solidFill>
                </w14:textFill>
              </w:rPr>
            </w:pPr>
            <w:r>
              <w:rPr>
                <w:color w:val="000000" w:themeColor="text1"/>
                <w14:textFill>
                  <w14:solidFill>
                    <w14:schemeClr w14:val="tx1"/>
                  </w14:solidFill>
                </w14:textFill>
              </w:rPr>
              <w:t>第5.5条液体危险废物可注入开孔直径不超过70毫米并有放气孔的桶中。</w:t>
            </w:r>
          </w:p>
          <w:p>
            <w:pPr>
              <w:pStyle w:val="42"/>
              <w:rPr>
                <w:color w:val="auto"/>
              </w:rPr>
            </w:pPr>
            <w:r>
              <w:rPr>
                <w:rFonts w:hint="eastAsia"/>
                <w:color w:val="auto"/>
              </w:rPr>
              <w:t>（</w:t>
            </w:r>
            <w:r>
              <w:rPr>
                <w:rFonts w:hint="eastAsia"/>
                <w:color w:val="auto"/>
                <w:lang w:val="en-US" w:eastAsia="zh-CN"/>
              </w:rPr>
              <w:t>5</w:t>
            </w:r>
            <w:r>
              <w:rPr>
                <w:rFonts w:hint="eastAsia"/>
                <w:color w:val="auto"/>
              </w:rPr>
              <w:t>）《工作场所有害因素职业接触限值 第1 部分：化学有害因素》(GBZ2.1-2019)</w:t>
            </w:r>
          </w:p>
          <w:p>
            <w:pPr>
              <w:pStyle w:val="47"/>
              <w:rPr>
                <w:color w:val="auto"/>
              </w:rPr>
            </w:pPr>
            <w:r>
              <w:rPr>
                <w:rFonts w:hint="eastAsia"/>
                <w:color w:val="auto"/>
              </w:rPr>
              <w:t>工作场所空气中臭氧的容许浓度为0.3mg/m</w:t>
            </w:r>
            <w:r>
              <w:rPr>
                <w:rFonts w:hint="eastAsia"/>
                <w:color w:val="auto"/>
                <w:vertAlign w:val="superscript"/>
              </w:rPr>
              <w:t>3</w:t>
            </w:r>
            <w:r>
              <w:rPr>
                <w:rFonts w:hint="eastAsia"/>
                <w:color w:val="auto"/>
              </w:rPr>
              <w:t>、二氧化氮的容许浓度为 5mg/m</w:t>
            </w:r>
            <w:r>
              <w:rPr>
                <w:rFonts w:hint="eastAsia"/>
                <w:color w:val="auto"/>
                <w:vertAlign w:val="superscript"/>
              </w:rPr>
              <w:t>3</w:t>
            </w:r>
            <w:r>
              <w:rPr>
                <w:rFonts w:hint="eastAsia"/>
                <w:color w:val="auto"/>
              </w:rPr>
              <w:t>。</w:t>
            </w:r>
          </w:p>
          <w:p>
            <w:pPr>
              <w:pStyle w:val="42"/>
              <w:rPr>
                <w:color w:val="auto"/>
              </w:rPr>
            </w:pPr>
            <w:r>
              <w:rPr>
                <w:rFonts w:hint="eastAsia"/>
                <w:color w:val="auto"/>
              </w:rPr>
              <w:t>（6）</w:t>
            </w:r>
            <w:r>
              <w:rPr>
                <w:color w:val="auto"/>
              </w:rPr>
              <w:t>标准汇总</w:t>
            </w:r>
          </w:p>
          <w:p>
            <w:pPr>
              <w:pStyle w:val="47"/>
              <w:rPr>
                <w:color w:val="auto"/>
              </w:rPr>
            </w:pPr>
            <w:r>
              <w:rPr>
                <w:color w:val="auto"/>
              </w:rPr>
              <w:t>根据以上所列标准，综合考虑本项目各方面要素以及实际的可操作性，本环评采用以下各项标准和剂量控制值，见表7-3。</w:t>
            </w:r>
          </w:p>
          <w:p>
            <w:pPr>
              <w:pStyle w:val="49"/>
              <w:rPr>
                <w:color w:val="auto"/>
              </w:rPr>
            </w:pPr>
            <w:r>
              <w:rPr>
                <w:color w:val="auto"/>
              </w:rPr>
              <w:t>表7-3本环评采用的各项标准和指标</w:t>
            </w: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2"/>
              <w:gridCol w:w="1276"/>
              <w:gridCol w:w="4210"/>
              <w:gridCol w:w="20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noWrap w:val="0"/>
                  <w:vAlign w:val="center"/>
                </w:tcPr>
                <w:p>
                  <w:pPr>
                    <w:pStyle w:val="53"/>
                    <w:rPr>
                      <w:color w:val="auto"/>
                    </w:rPr>
                  </w:pPr>
                  <w:r>
                    <w:rPr>
                      <w:rFonts w:hint="eastAsia"/>
                      <w:color w:val="auto"/>
                    </w:rPr>
                    <w:t>序号</w:t>
                  </w:r>
                </w:p>
              </w:tc>
              <w:tc>
                <w:tcPr>
                  <w:tcW w:w="1276" w:type="dxa"/>
                  <w:noWrap w:val="0"/>
                  <w:vAlign w:val="center"/>
                </w:tcPr>
                <w:p>
                  <w:pPr>
                    <w:pStyle w:val="53"/>
                    <w:rPr>
                      <w:color w:val="auto"/>
                    </w:rPr>
                  </w:pPr>
                  <w:r>
                    <w:rPr>
                      <w:rFonts w:hint="eastAsia"/>
                      <w:color w:val="auto"/>
                    </w:rPr>
                    <w:t>项目</w:t>
                  </w:r>
                </w:p>
              </w:tc>
              <w:tc>
                <w:tcPr>
                  <w:tcW w:w="4210" w:type="dxa"/>
                  <w:noWrap w:val="0"/>
                  <w:vAlign w:val="center"/>
                </w:tcPr>
                <w:p>
                  <w:pPr>
                    <w:pStyle w:val="53"/>
                    <w:rPr>
                      <w:color w:val="auto"/>
                    </w:rPr>
                  </w:pPr>
                  <w:r>
                    <w:rPr>
                      <w:rFonts w:hint="eastAsia"/>
                      <w:color w:val="auto"/>
                    </w:rPr>
                    <w:t>控制值</w:t>
                  </w:r>
                </w:p>
              </w:tc>
              <w:tc>
                <w:tcPr>
                  <w:tcW w:w="2017" w:type="dxa"/>
                  <w:noWrap w:val="0"/>
                  <w:vAlign w:val="center"/>
                </w:tcPr>
                <w:p>
                  <w:pPr>
                    <w:pStyle w:val="53"/>
                    <w:rPr>
                      <w:color w:val="auto"/>
                    </w:rPr>
                  </w:pPr>
                  <w:r>
                    <w:rPr>
                      <w:rFonts w:hint="eastAsia"/>
                      <w:color w:val="auto"/>
                    </w:rPr>
                    <w:t>采用标准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noWrap w:val="0"/>
                  <w:vAlign w:val="center"/>
                </w:tcPr>
                <w:p>
                  <w:pPr>
                    <w:pStyle w:val="53"/>
                    <w:rPr>
                      <w:color w:val="auto"/>
                    </w:rPr>
                  </w:pPr>
                  <w:r>
                    <w:rPr>
                      <w:rFonts w:hint="eastAsia"/>
                      <w:color w:val="auto"/>
                    </w:rPr>
                    <w:t>1</w:t>
                  </w:r>
                </w:p>
              </w:tc>
              <w:tc>
                <w:tcPr>
                  <w:tcW w:w="1276" w:type="dxa"/>
                  <w:noWrap w:val="0"/>
                  <w:vAlign w:val="center"/>
                </w:tcPr>
                <w:p>
                  <w:pPr>
                    <w:pStyle w:val="53"/>
                    <w:rPr>
                      <w:color w:val="auto"/>
                    </w:rPr>
                  </w:pPr>
                  <w:r>
                    <w:rPr>
                      <w:color w:val="auto"/>
                    </w:rPr>
                    <w:t>有效剂量管理目标值</w:t>
                  </w:r>
                </w:p>
              </w:tc>
              <w:tc>
                <w:tcPr>
                  <w:tcW w:w="4210" w:type="dxa"/>
                  <w:noWrap w:val="0"/>
                  <w:vAlign w:val="center"/>
                </w:tcPr>
                <w:p>
                  <w:pPr>
                    <w:pStyle w:val="53"/>
                    <w:rPr>
                      <w:color w:val="auto"/>
                    </w:rPr>
                  </w:pPr>
                  <w:r>
                    <w:rPr>
                      <w:color w:val="auto"/>
                    </w:rPr>
                    <w:t>工作人员：≤</w:t>
                  </w:r>
                  <w:r>
                    <w:rPr>
                      <w:rFonts w:hint="eastAsia"/>
                      <w:color w:val="auto"/>
                    </w:rPr>
                    <w:t>2</w:t>
                  </w:r>
                  <w:r>
                    <w:rPr>
                      <w:color w:val="auto"/>
                    </w:rPr>
                    <w:t>mSv</w:t>
                  </w:r>
                  <w:r>
                    <w:rPr>
                      <w:rFonts w:hint="eastAsia"/>
                      <w:color w:val="auto"/>
                    </w:rPr>
                    <w:t>/a</w:t>
                  </w:r>
                  <w:r>
                    <w:rPr>
                      <w:color w:val="auto"/>
                    </w:rPr>
                    <w:t>；公众成员：≤0.1mSv</w:t>
                  </w:r>
                  <w:r>
                    <w:rPr>
                      <w:rFonts w:hint="eastAsia"/>
                      <w:color w:val="auto"/>
                    </w:rPr>
                    <w:t>/a</w:t>
                  </w:r>
                </w:p>
              </w:tc>
              <w:tc>
                <w:tcPr>
                  <w:tcW w:w="2017" w:type="dxa"/>
                  <w:noWrap w:val="0"/>
                  <w:vAlign w:val="center"/>
                </w:tcPr>
                <w:p>
                  <w:pPr>
                    <w:pStyle w:val="53"/>
                    <w:rPr>
                      <w:color w:val="auto"/>
                    </w:rPr>
                  </w:pPr>
                  <w:r>
                    <w:rPr>
                      <w:color w:val="auto"/>
                    </w:rPr>
                    <w:t>GB18871－2002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noWrap w:val="0"/>
                  <w:vAlign w:val="center"/>
                </w:tcPr>
                <w:p>
                  <w:pPr>
                    <w:pStyle w:val="53"/>
                    <w:rPr>
                      <w:color w:val="auto"/>
                    </w:rPr>
                  </w:pPr>
                  <w:r>
                    <w:rPr>
                      <w:rFonts w:hint="eastAsia"/>
                      <w:color w:val="auto"/>
                    </w:rPr>
                    <w:t>2</w:t>
                  </w:r>
                </w:p>
              </w:tc>
              <w:tc>
                <w:tcPr>
                  <w:tcW w:w="1276" w:type="dxa"/>
                  <w:noWrap w:val="0"/>
                  <w:vAlign w:val="center"/>
                </w:tcPr>
                <w:p>
                  <w:pPr>
                    <w:pStyle w:val="53"/>
                    <w:rPr>
                      <w:color w:val="auto"/>
                    </w:rPr>
                  </w:pPr>
                  <w:r>
                    <w:rPr>
                      <w:color w:val="auto"/>
                    </w:rPr>
                    <w:t>X射线探伤机要求</w:t>
                  </w:r>
                </w:p>
              </w:tc>
              <w:tc>
                <w:tcPr>
                  <w:tcW w:w="4210" w:type="dxa"/>
                  <w:noWrap w:val="0"/>
                  <w:vAlign w:val="center"/>
                </w:tcPr>
                <w:p>
                  <w:pPr>
                    <w:pStyle w:val="53"/>
                    <w:rPr>
                      <w:color w:val="auto"/>
                    </w:rPr>
                  </w:pPr>
                  <w:r>
                    <w:rPr>
                      <w:color w:val="auto"/>
                    </w:rPr>
                    <w:t>管电压</w:t>
                  </w:r>
                  <w:r>
                    <w:rPr>
                      <w:rFonts w:hint="eastAsia"/>
                      <w:color w:val="auto"/>
                    </w:rPr>
                    <w:t>＞200</w:t>
                  </w:r>
                  <w:r>
                    <w:rPr>
                      <w:color w:val="auto"/>
                    </w:rPr>
                    <w:t>kV：X射线管焦点1m处的漏射线空气比释动能率：＜</w:t>
                  </w:r>
                  <w:r>
                    <w:rPr>
                      <w:rFonts w:hint="eastAsia"/>
                      <w:color w:val="auto"/>
                    </w:rPr>
                    <w:t>5</w:t>
                  </w:r>
                  <w:r>
                    <w:rPr>
                      <w:color w:val="auto"/>
                    </w:rPr>
                    <w:t>mGy/h</w:t>
                  </w:r>
                </w:p>
              </w:tc>
              <w:tc>
                <w:tcPr>
                  <w:tcW w:w="2017" w:type="dxa"/>
                  <w:noWrap w:val="0"/>
                  <w:vAlign w:val="center"/>
                </w:tcPr>
                <w:p>
                  <w:pPr>
                    <w:pStyle w:val="53"/>
                    <w:rPr>
                      <w:color w:val="auto"/>
                    </w:rPr>
                  </w:pPr>
                  <w:r>
                    <w:rPr>
                      <w:color w:val="auto"/>
                    </w:rPr>
                    <w:t>GBZ117－2015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62" w:type="dxa"/>
                  <w:noWrap w:val="0"/>
                  <w:vAlign w:val="center"/>
                </w:tcPr>
                <w:p>
                  <w:pPr>
                    <w:pStyle w:val="53"/>
                    <w:rPr>
                      <w:color w:val="auto"/>
                    </w:rPr>
                  </w:pPr>
                  <w:r>
                    <w:rPr>
                      <w:rFonts w:hint="eastAsia"/>
                      <w:color w:val="auto"/>
                    </w:rPr>
                    <w:t>3</w:t>
                  </w:r>
                </w:p>
              </w:tc>
              <w:tc>
                <w:tcPr>
                  <w:tcW w:w="1276" w:type="dxa"/>
                  <w:noWrap w:val="0"/>
                  <w:vAlign w:val="center"/>
                </w:tcPr>
                <w:p>
                  <w:pPr>
                    <w:pStyle w:val="53"/>
                    <w:rPr>
                      <w:rFonts w:hint="eastAsia"/>
                      <w:color w:val="auto"/>
                    </w:rPr>
                  </w:pPr>
                  <w:r>
                    <w:rPr>
                      <w:color w:val="auto"/>
                    </w:rPr>
                    <w:t>X射线</w:t>
                  </w:r>
                  <w:r>
                    <w:rPr>
                      <w:rFonts w:hint="eastAsia"/>
                      <w:color w:val="auto"/>
                    </w:rPr>
                    <w:t>探伤室</w:t>
                  </w:r>
                </w:p>
              </w:tc>
              <w:tc>
                <w:tcPr>
                  <w:tcW w:w="4210" w:type="dxa"/>
                  <w:noWrap w:val="0"/>
                  <w:vAlign w:val="center"/>
                </w:tcPr>
                <w:p>
                  <w:pPr>
                    <w:pStyle w:val="53"/>
                    <w:rPr>
                      <w:color w:val="auto"/>
                    </w:rPr>
                  </w:pPr>
                  <w:r>
                    <w:rPr>
                      <w:rFonts w:hint="eastAsia"/>
                      <w:color w:val="auto"/>
                    </w:rPr>
                    <w:t>探伤室</w:t>
                  </w:r>
                  <w:r>
                    <w:rPr>
                      <w:color w:val="auto"/>
                    </w:rPr>
                    <w:t>外30cm处周围剂量当量率：≤2.5μSv/h；探伤室顶棚无人到达，不得大于100µSv/h</w:t>
                  </w:r>
                </w:p>
              </w:tc>
              <w:tc>
                <w:tcPr>
                  <w:tcW w:w="2017" w:type="dxa"/>
                  <w:noWrap w:val="0"/>
                  <w:vAlign w:val="center"/>
                </w:tcPr>
                <w:p>
                  <w:pPr>
                    <w:pStyle w:val="53"/>
                    <w:rPr>
                      <w:color w:val="auto"/>
                    </w:rPr>
                  </w:pPr>
                  <w:r>
                    <w:rPr>
                      <w:color w:val="auto"/>
                    </w:rPr>
                    <w:t>GBZ117－2015</w:t>
                  </w:r>
                </w:p>
                <w:p>
                  <w:pPr>
                    <w:pStyle w:val="53"/>
                    <w:rPr>
                      <w:color w:val="auto"/>
                    </w:rPr>
                  </w:pPr>
                  <w:r>
                    <w:rPr>
                      <w:color w:val="auto"/>
                    </w:rPr>
                    <w:t>GBZ/T250－2014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noWrap w:val="0"/>
                  <w:vAlign w:val="center"/>
                </w:tcPr>
                <w:p>
                  <w:pPr>
                    <w:pStyle w:val="53"/>
                    <w:rPr>
                      <w:color w:val="auto"/>
                    </w:rPr>
                  </w:pPr>
                  <w:r>
                    <w:rPr>
                      <w:rFonts w:hint="eastAsia"/>
                      <w:color w:val="auto"/>
                    </w:rPr>
                    <w:t xml:space="preserve">4 </w:t>
                  </w:r>
                </w:p>
              </w:tc>
              <w:tc>
                <w:tcPr>
                  <w:tcW w:w="1276" w:type="dxa"/>
                  <w:noWrap w:val="0"/>
                  <w:vAlign w:val="center"/>
                </w:tcPr>
                <w:p>
                  <w:pPr>
                    <w:pStyle w:val="53"/>
                    <w:rPr>
                      <w:color w:val="auto"/>
                    </w:rPr>
                  </w:pPr>
                  <w:r>
                    <w:rPr>
                      <w:rFonts w:hint="eastAsia"/>
                      <w:color w:val="auto"/>
                      <w:kern w:val="0"/>
                    </w:rPr>
                    <w:t>工作场所气体浓度</w:t>
                  </w:r>
                </w:p>
              </w:tc>
              <w:tc>
                <w:tcPr>
                  <w:tcW w:w="4210" w:type="dxa"/>
                  <w:noWrap w:val="0"/>
                  <w:vAlign w:val="center"/>
                </w:tcPr>
                <w:p>
                  <w:pPr>
                    <w:pStyle w:val="53"/>
                    <w:rPr>
                      <w:color w:val="auto"/>
                    </w:rPr>
                  </w:pPr>
                  <w:r>
                    <w:rPr>
                      <w:rFonts w:hint="eastAsia" w:ascii="宋体" w:hAnsi="宋体" w:cs="宋体"/>
                      <w:color w:val="auto"/>
                      <w:kern w:val="0"/>
                    </w:rPr>
                    <w:t>臭氧</w:t>
                  </w:r>
                  <w:r>
                    <w:rPr>
                      <w:rFonts w:hint="eastAsia"/>
                      <w:color w:val="auto"/>
                      <w:kern w:val="0"/>
                    </w:rPr>
                    <w:t>≤0.3mg/m</w:t>
                  </w:r>
                  <w:r>
                    <w:rPr>
                      <w:rFonts w:hint="eastAsia"/>
                      <w:color w:val="auto"/>
                      <w:kern w:val="0"/>
                      <w:vertAlign w:val="superscript"/>
                    </w:rPr>
                    <w:t>3</w:t>
                  </w:r>
                  <w:r>
                    <w:rPr>
                      <w:rFonts w:hint="eastAsia" w:ascii="宋体" w:hAnsi="宋体" w:cs="宋体"/>
                      <w:color w:val="auto"/>
                      <w:kern w:val="0"/>
                    </w:rPr>
                    <w:t>二氧化氮</w:t>
                  </w:r>
                  <w:r>
                    <w:rPr>
                      <w:rFonts w:hint="eastAsia"/>
                      <w:color w:val="auto"/>
                      <w:kern w:val="0"/>
                    </w:rPr>
                    <w:t>≤5mg/m</w:t>
                  </w:r>
                  <w:r>
                    <w:rPr>
                      <w:rFonts w:hint="eastAsia"/>
                      <w:color w:val="auto"/>
                      <w:kern w:val="0"/>
                      <w:vertAlign w:val="superscript"/>
                    </w:rPr>
                    <w:t>3</w:t>
                  </w:r>
                </w:p>
              </w:tc>
              <w:tc>
                <w:tcPr>
                  <w:tcW w:w="2017" w:type="dxa"/>
                  <w:noWrap w:val="0"/>
                  <w:vAlign w:val="center"/>
                </w:tcPr>
                <w:p>
                  <w:pPr>
                    <w:pStyle w:val="53"/>
                    <w:rPr>
                      <w:color w:val="auto"/>
                    </w:rPr>
                  </w:pPr>
                  <w:r>
                    <w:rPr>
                      <w:rFonts w:hint="eastAsia" w:ascii="Times New Roman" w:hAnsi="Times New Roman" w:eastAsia="宋体" w:cs="Times New Roman"/>
                      <w:color w:val="auto"/>
                    </w:rPr>
                    <w:t>GBZ2.1-2019</w:t>
                  </w:r>
                </w:p>
              </w:tc>
            </w:tr>
          </w:tbl>
          <w:p>
            <w:pPr>
              <w:pStyle w:val="47"/>
              <w:ind w:firstLine="482"/>
              <w:rPr>
                <w:b/>
                <w:color w:val="auto"/>
              </w:rPr>
            </w:pPr>
          </w:p>
          <w:p>
            <w:pPr>
              <w:pStyle w:val="47"/>
              <w:ind w:firstLine="482"/>
              <w:rPr>
                <w:b/>
                <w:color w:val="auto"/>
              </w:rPr>
            </w:pPr>
          </w:p>
          <w:p>
            <w:pPr>
              <w:pStyle w:val="47"/>
              <w:ind w:firstLine="482"/>
              <w:rPr>
                <w:b/>
                <w:color w:val="auto"/>
              </w:rPr>
            </w:pPr>
          </w:p>
          <w:p>
            <w:pPr>
              <w:pStyle w:val="47"/>
              <w:ind w:firstLine="482"/>
              <w:rPr>
                <w:b/>
                <w:color w:val="auto"/>
              </w:rPr>
            </w:pPr>
          </w:p>
          <w:p>
            <w:pPr>
              <w:pStyle w:val="47"/>
              <w:ind w:firstLine="482"/>
              <w:rPr>
                <w:b/>
                <w:color w:val="auto"/>
              </w:rPr>
            </w:pPr>
          </w:p>
          <w:p>
            <w:pPr>
              <w:pStyle w:val="47"/>
              <w:ind w:firstLine="482"/>
              <w:rPr>
                <w:b/>
                <w:color w:val="auto"/>
              </w:rPr>
            </w:pPr>
          </w:p>
        </w:tc>
      </w:tr>
    </w:tbl>
    <w:p>
      <w:pPr>
        <w:pStyle w:val="51"/>
        <w:rPr>
          <w:color w:val="auto"/>
        </w:rPr>
        <w:sectPr>
          <w:pgSz w:w="11906" w:h="16838"/>
          <w:pgMar w:top="1440" w:right="1800" w:bottom="1440" w:left="1800" w:header="851" w:footer="992" w:gutter="0"/>
          <w:cols w:space="720" w:num="1"/>
          <w:docGrid w:type="lines" w:linePitch="312" w:charSpace="0"/>
        </w:sectPr>
      </w:pPr>
    </w:p>
    <w:p>
      <w:pPr>
        <w:pStyle w:val="51"/>
        <w:rPr>
          <w:color w:val="auto"/>
        </w:rPr>
      </w:pPr>
      <w:bookmarkStart w:id="128" w:name="_Toc26691"/>
      <w:r>
        <w:rPr>
          <w:rFonts w:hint="eastAsia"/>
          <w:color w:val="auto"/>
        </w:rPr>
        <w:t>表8环境质量和辐射现状</w:t>
      </w:r>
      <w:bookmarkEnd w:id="128"/>
    </w:p>
    <w:tbl>
      <w:tblPr>
        <w:tblStyle w:val="23"/>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41" w:hRule="atLeast"/>
        </w:trPr>
        <w:tc>
          <w:tcPr>
            <w:tcW w:w="8296" w:type="dxa"/>
            <w:noWrap w:val="0"/>
            <w:vAlign w:val="top"/>
          </w:tcPr>
          <w:p>
            <w:pPr>
              <w:pStyle w:val="45"/>
              <w:spacing w:before="156" w:after="156"/>
              <w:rPr>
                <w:rFonts w:hint="default" w:ascii="Times New Roman" w:hAnsi="Times New Roman" w:cs="Times New Roman"/>
                <w:color w:val="auto"/>
              </w:rPr>
            </w:pPr>
            <w:r>
              <w:rPr>
                <w:rFonts w:hint="default" w:ascii="Times New Roman" w:hAnsi="Times New Roman" w:cs="Times New Roman"/>
                <w:color w:val="auto"/>
              </w:rPr>
              <w:t>8.1辐射环境质量现状调查</w:t>
            </w:r>
          </w:p>
          <w:p>
            <w:pPr>
              <w:pStyle w:val="42"/>
              <w:rPr>
                <w:rFonts w:hint="default" w:ascii="Times New Roman" w:hAnsi="Times New Roman" w:cs="Times New Roman"/>
                <w:color w:val="auto"/>
                <w:kern w:val="0"/>
              </w:rPr>
            </w:pPr>
            <w:r>
              <w:rPr>
                <w:rFonts w:hint="default" w:ascii="Times New Roman" w:hAnsi="Times New Roman" w:cs="Times New Roman"/>
                <w:color w:val="auto"/>
                <w:kern w:val="0"/>
              </w:rPr>
              <w:t>1、项目环境辐射检测</w:t>
            </w:r>
          </w:p>
          <w:p>
            <w:pPr>
              <w:pStyle w:val="47"/>
              <w:rPr>
                <w:rFonts w:hint="default" w:ascii="Times New Roman" w:hAnsi="Times New Roman" w:cs="Times New Roman"/>
                <w:color w:val="auto"/>
                <w:kern w:val="0"/>
              </w:rPr>
            </w:pPr>
            <w:r>
              <w:rPr>
                <w:rFonts w:hint="default" w:ascii="Times New Roman" w:hAnsi="Times New Roman" w:cs="Times New Roman"/>
                <w:color w:val="auto"/>
                <w:kern w:val="0"/>
              </w:rPr>
              <w:t>本次评价委托湖南</w:t>
            </w:r>
            <w:r>
              <w:rPr>
                <w:rFonts w:hint="eastAsia" w:cs="Times New Roman"/>
                <w:color w:val="auto"/>
                <w:kern w:val="0"/>
                <w:lang w:val="en-US" w:eastAsia="zh-CN"/>
              </w:rPr>
              <w:t>宝宜工程技术有限</w:t>
            </w:r>
            <w:r>
              <w:rPr>
                <w:rFonts w:hint="default" w:ascii="Times New Roman" w:hAnsi="Times New Roman" w:cs="Times New Roman"/>
                <w:color w:val="auto"/>
                <w:kern w:val="0"/>
              </w:rPr>
              <w:t>公司于2021年</w:t>
            </w:r>
            <w:r>
              <w:rPr>
                <w:rFonts w:hint="eastAsia" w:cs="Times New Roman"/>
                <w:color w:val="auto"/>
                <w:kern w:val="0"/>
                <w:lang w:val="en-US" w:eastAsia="zh-CN"/>
              </w:rPr>
              <w:t>12</w:t>
            </w:r>
            <w:r>
              <w:rPr>
                <w:rFonts w:hint="default" w:ascii="Times New Roman" w:hAnsi="Times New Roman" w:cs="Times New Roman"/>
                <w:color w:val="auto"/>
                <w:kern w:val="0"/>
              </w:rPr>
              <w:t>月2</w:t>
            </w:r>
            <w:r>
              <w:rPr>
                <w:rFonts w:hint="eastAsia" w:cs="Times New Roman"/>
                <w:color w:val="auto"/>
                <w:kern w:val="0"/>
                <w:lang w:val="en-US" w:eastAsia="zh-CN"/>
              </w:rPr>
              <w:t>2</w:t>
            </w:r>
            <w:r>
              <w:rPr>
                <w:rFonts w:hint="default" w:ascii="Times New Roman" w:hAnsi="Times New Roman" w:cs="Times New Roman"/>
                <w:color w:val="auto"/>
                <w:kern w:val="0"/>
              </w:rPr>
              <w:t>日对</w:t>
            </w:r>
            <w:r>
              <w:rPr>
                <w:rFonts w:hint="eastAsia" w:cs="Times New Roman"/>
                <w:color w:val="auto"/>
                <w:lang w:eastAsia="zh-CN"/>
              </w:rPr>
              <w:t>长沙赛恩斯环保工程技术有限公司压力容器制造无损检测探伤房建设项目</w:t>
            </w:r>
            <w:r>
              <w:rPr>
                <w:rFonts w:hint="default" w:ascii="Times New Roman" w:hAnsi="Times New Roman" w:cs="Times New Roman"/>
                <w:color w:val="auto"/>
                <w:kern w:val="0"/>
              </w:rPr>
              <w:t>的辐射环境进行了检测。</w:t>
            </w:r>
          </w:p>
          <w:p>
            <w:pPr>
              <w:pStyle w:val="47"/>
              <w:ind w:firstLine="482"/>
              <w:rPr>
                <w:rFonts w:hint="default" w:ascii="Times New Roman" w:hAnsi="Times New Roman" w:cs="Times New Roman"/>
                <w:b/>
                <w:bCs/>
                <w:color w:val="auto"/>
              </w:rPr>
            </w:pPr>
            <w:r>
              <w:rPr>
                <w:rFonts w:hint="default" w:ascii="Times New Roman" w:hAnsi="Times New Roman" w:cs="Times New Roman"/>
                <w:b/>
                <w:bCs/>
                <w:color w:val="auto"/>
              </w:rPr>
              <w:t>2、监测方案及质量保证</w:t>
            </w:r>
          </w:p>
          <w:p>
            <w:pPr>
              <w:pStyle w:val="47"/>
              <w:rPr>
                <w:rFonts w:hint="default" w:ascii="Times New Roman" w:hAnsi="Times New Roman" w:cs="Times New Roman"/>
                <w:color w:val="auto"/>
                <w:kern w:val="0"/>
              </w:rPr>
            </w:pPr>
            <w:r>
              <w:rPr>
                <w:rFonts w:hint="default" w:ascii="Times New Roman" w:hAnsi="Times New Roman" w:cs="Times New Roman"/>
                <w:color w:val="auto"/>
                <w:kern w:val="0"/>
              </w:rPr>
              <w:t>（1）检测目的</w:t>
            </w:r>
          </w:p>
          <w:p>
            <w:pPr>
              <w:pStyle w:val="47"/>
              <w:rPr>
                <w:rFonts w:hint="default" w:ascii="Times New Roman" w:hAnsi="Times New Roman" w:cs="Times New Roman"/>
                <w:color w:val="auto"/>
                <w:kern w:val="0"/>
              </w:rPr>
            </w:pPr>
            <w:r>
              <w:rPr>
                <w:rFonts w:hint="default" w:ascii="Times New Roman" w:hAnsi="Times New Roman" w:cs="Times New Roman"/>
                <w:color w:val="auto"/>
                <w:kern w:val="0"/>
              </w:rPr>
              <w:t>该环境辐射现状检测的目的主要是为了解项目地点辐射水平以及周围剂量当量率，为辐射工作场所建成运行时对环境的影响提供依据。</w:t>
            </w:r>
          </w:p>
          <w:p>
            <w:pPr>
              <w:pStyle w:val="47"/>
              <w:rPr>
                <w:rFonts w:hint="default" w:ascii="Times New Roman" w:hAnsi="Times New Roman" w:cs="Times New Roman"/>
                <w:color w:val="auto"/>
                <w:kern w:val="0"/>
              </w:rPr>
            </w:pPr>
            <w:r>
              <w:rPr>
                <w:rFonts w:hint="default" w:ascii="Times New Roman" w:hAnsi="Times New Roman" w:cs="Times New Roman"/>
                <w:color w:val="auto"/>
                <w:kern w:val="0"/>
              </w:rPr>
              <w:t>（2）检测依据和方法</w:t>
            </w:r>
          </w:p>
          <w:p>
            <w:pPr>
              <w:pStyle w:val="47"/>
              <w:rPr>
                <w:rFonts w:hint="default" w:ascii="Times New Roman" w:hAnsi="Times New Roman" w:cs="Times New Roman"/>
                <w:color w:val="auto"/>
                <w:kern w:val="0"/>
              </w:rPr>
            </w:pPr>
            <w:r>
              <w:rPr>
                <w:rFonts w:hint="default" w:ascii="Times New Roman" w:hAnsi="Times New Roman" w:cs="Times New Roman"/>
                <w:color w:val="auto"/>
                <w:kern w:val="0"/>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"https://www.mee.gov.cn/ywgz/fgbz/bz/bzwb/jcffbz/202104/W020210429487541004219.pdf" </w:instrText>
            </w:r>
            <w:r>
              <w:rPr>
                <w:rFonts w:hint="default" w:ascii="Times New Roman" w:hAnsi="Times New Roman" w:cs="Times New Roman"/>
                <w:color w:val="auto"/>
              </w:rPr>
              <w:fldChar w:fldCharType="separate"/>
            </w:r>
            <w:r>
              <w:rPr>
                <w:rFonts w:hint="default" w:ascii="Times New Roman" w:hAnsi="Times New Roman" w:cs="Times New Roman"/>
                <w:color w:val="auto"/>
                <w:kern w:val="0"/>
              </w:rPr>
              <w:t>环境γ辐射剂量率测量技术规范》(HJ 1157</w:t>
            </w:r>
            <w:r>
              <w:rPr>
                <w:rFonts w:hint="eastAsia" w:cs="Times New Roman"/>
                <w:color w:val="auto"/>
                <w:kern w:val="0"/>
                <w:lang w:val="en-US" w:eastAsia="zh-CN"/>
              </w:rPr>
              <w:t>-</w:t>
            </w:r>
            <w:r>
              <w:rPr>
                <w:rFonts w:hint="default" w:ascii="Times New Roman" w:hAnsi="Times New Roman" w:cs="Times New Roman"/>
                <w:color w:val="auto"/>
                <w:kern w:val="0"/>
              </w:rPr>
              <w:t>2021)</w:t>
            </w:r>
            <w:r>
              <w:rPr>
                <w:rFonts w:hint="default" w:ascii="Times New Roman" w:hAnsi="Times New Roman" w:cs="Times New Roman"/>
                <w:color w:val="auto"/>
                <w:kern w:val="0"/>
              </w:rPr>
              <w:fldChar w:fldCharType="end"/>
            </w:r>
            <w:r>
              <w:rPr>
                <w:rFonts w:hint="default" w:ascii="Times New Roman" w:hAnsi="Times New Roman" w:cs="Times New Roman"/>
                <w:color w:val="auto"/>
                <w:kern w:val="0"/>
              </w:rPr>
              <w:t>。</w:t>
            </w:r>
          </w:p>
          <w:p>
            <w:pPr>
              <w:pStyle w:val="47"/>
              <w:rPr>
                <w:rFonts w:hint="default" w:ascii="Times New Roman" w:hAnsi="Times New Roman" w:cs="Times New Roman"/>
                <w:color w:val="auto"/>
                <w:kern w:val="0"/>
              </w:rPr>
            </w:pPr>
            <w:r>
              <w:rPr>
                <w:rFonts w:hint="default" w:ascii="Times New Roman" w:hAnsi="Times New Roman" w:cs="Times New Roman"/>
                <w:color w:val="auto"/>
                <w:kern w:val="0"/>
              </w:rPr>
              <w:t>（3）检测布点及质量保证</w:t>
            </w:r>
          </w:p>
          <w:p>
            <w:pPr>
              <w:pStyle w:val="47"/>
              <w:rPr>
                <w:rFonts w:hint="default" w:ascii="Times New Roman" w:hAnsi="Times New Roman" w:cs="Times New Roman"/>
                <w:color w:val="auto"/>
                <w:kern w:val="0"/>
              </w:rPr>
            </w:pPr>
            <w:r>
              <w:rPr>
                <w:rFonts w:hint="default" w:ascii="Times New Roman" w:hAnsi="Times New Roman" w:cs="Times New Roman"/>
                <w:color w:val="auto"/>
                <w:kern w:val="0"/>
              </w:rPr>
              <w:t>检测点位主要考虑射线装置拟安装地及以X射线装置为中心，四周人员能够达到的区域，监测点位示意图见附件-监测报告。</w:t>
            </w:r>
          </w:p>
          <w:p>
            <w:pPr>
              <w:pStyle w:val="47"/>
              <w:rPr>
                <w:rFonts w:hint="default" w:ascii="Times New Roman" w:hAnsi="Times New Roman" w:cs="Times New Roman"/>
                <w:color w:val="auto"/>
              </w:rPr>
            </w:pPr>
            <w:r>
              <w:rPr>
                <w:rFonts w:hint="default" w:ascii="Times New Roman" w:hAnsi="Times New Roman" w:cs="Times New Roman"/>
                <w:color w:val="auto"/>
              </w:rPr>
              <w:t>该项目测量所用的仪器性能参数均符合国家标准方法的要求，均有有效的国家计量部门检定的合格证书，并有良好的日常质量控制程序。数据分析及处理采用国家标准中相关的数据处理方法，按国家标准和监测技术规范有关要求进行数据处理和填报，并按有关规定和要求进行三级审核。本次监测所使用的仪器情况见表8-1。</w:t>
            </w:r>
          </w:p>
          <w:p>
            <w:pPr>
              <w:pStyle w:val="49"/>
              <w:rPr>
                <w:rFonts w:hint="default" w:ascii="Times New Roman" w:hAnsi="Times New Roman" w:cs="Times New Roman"/>
                <w:color w:val="auto"/>
              </w:rPr>
            </w:pPr>
            <w:r>
              <w:rPr>
                <w:rFonts w:hint="default" w:ascii="Times New Roman" w:hAnsi="Times New Roman" w:cs="Times New Roman"/>
                <w:color w:val="auto"/>
              </w:rPr>
              <w:t>表8-1监测所使用的仪器情况</w:t>
            </w: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0"/>
              <w:gridCol w:w="60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noWrap w:val="0"/>
                  <w:vAlign w:val="center"/>
                </w:tcPr>
                <w:p>
                  <w:pPr>
                    <w:pStyle w:val="53"/>
                    <w:rPr>
                      <w:rFonts w:hint="default" w:ascii="Times New Roman" w:hAnsi="Times New Roman" w:cs="Times New Roman"/>
                      <w:color w:val="auto"/>
                    </w:rPr>
                  </w:pPr>
                  <w:r>
                    <w:rPr>
                      <w:rFonts w:hint="default" w:ascii="Times New Roman" w:hAnsi="Times New Roman" w:cs="Times New Roman"/>
                      <w:color w:val="auto"/>
                    </w:rPr>
                    <w:t>仪器名称</w:t>
                  </w:r>
                </w:p>
              </w:tc>
              <w:tc>
                <w:tcPr>
                  <w:tcW w:w="6085" w:type="dxa"/>
                  <w:noWrap w:val="0"/>
                  <w:vAlign w:val="center"/>
                </w:tcPr>
                <w:p>
                  <w:pPr>
                    <w:pStyle w:val="53"/>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辐射检测仪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noWrap w:val="0"/>
                  <w:vAlign w:val="center"/>
                </w:tcPr>
                <w:p>
                  <w:pPr>
                    <w:pStyle w:val="53"/>
                    <w:rPr>
                      <w:rFonts w:hint="default" w:ascii="Times New Roman" w:hAnsi="Times New Roman" w:cs="Times New Roman"/>
                      <w:color w:val="auto"/>
                    </w:rPr>
                  </w:pPr>
                  <w:r>
                    <w:rPr>
                      <w:rFonts w:hint="default" w:ascii="Times New Roman" w:hAnsi="Times New Roman" w:cs="Times New Roman"/>
                      <w:color w:val="auto"/>
                    </w:rPr>
                    <w:t>仪器型号</w:t>
                  </w:r>
                </w:p>
              </w:tc>
              <w:tc>
                <w:tcPr>
                  <w:tcW w:w="6085" w:type="dxa"/>
                  <w:noWrap w:val="0"/>
                  <w:vAlign w:val="center"/>
                </w:tcPr>
                <w:p>
                  <w:pPr>
                    <w:pStyle w:val="53"/>
                    <w:ind w:firstLine="420" w:firstLineChars="200"/>
                    <w:jc w:val="left"/>
                    <w:rPr>
                      <w:rFonts w:hint="default" w:ascii="Times New Roman" w:hAnsi="Times New Roman" w:cs="Times New Roman"/>
                      <w:color w:val="auto"/>
                    </w:rPr>
                  </w:pPr>
                  <w:r>
                    <w:rPr>
                      <w:rFonts w:hint="eastAsia"/>
                      <w:color w:val="auto"/>
                      <w:szCs w:val="21"/>
                    </w:rPr>
                    <w:t>RJ38-1103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noWrap w:val="0"/>
                  <w:vAlign w:val="center"/>
                </w:tcPr>
                <w:p>
                  <w:pPr>
                    <w:pStyle w:val="53"/>
                    <w:rPr>
                      <w:rFonts w:hint="default" w:ascii="Times New Roman" w:hAnsi="Times New Roman" w:cs="Times New Roman"/>
                      <w:color w:val="auto"/>
                    </w:rPr>
                  </w:pPr>
                  <w:r>
                    <w:rPr>
                      <w:rFonts w:hint="default" w:ascii="Times New Roman" w:hAnsi="Times New Roman" w:cs="Times New Roman"/>
                      <w:color w:val="auto"/>
                    </w:rPr>
                    <w:t>检定证书</w:t>
                  </w:r>
                </w:p>
              </w:tc>
              <w:tc>
                <w:tcPr>
                  <w:tcW w:w="6085" w:type="dxa"/>
                  <w:noWrap w:val="0"/>
                  <w:vAlign w:val="center"/>
                </w:tcPr>
                <w:p>
                  <w:pPr>
                    <w:pStyle w:val="53"/>
                    <w:ind w:firstLine="420" w:firstLineChars="200"/>
                    <w:jc w:val="left"/>
                    <w:rPr>
                      <w:rFonts w:hint="eastAsia" w:ascii="Times New Roman" w:hAnsi="Times New Roman" w:eastAsia="宋体" w:cs="Times New Roman"/>
                      <w:color w:val="auto"/>
                      <w:lang w:eastAsia="zh-CN"/>
                    </w:rPr>
                  </w:pPr>
                  <w:r>
                    <w:rPr>
                      <w:rFonts w:hint="eastAsia" w:cs="Times New Roman"/>
                      <w:color w:val="auto"/>
                      <w:lang w:val="en-US" w:eastAsia="zh-CN"/>
                    </w:rPr>
                    <w:t>仪器</w:t>
                  </w:r>
                  <w:r>
                    <w:rPr>
                      <w:rFonts w:hint="default" w:ascii="Times New Roman" w:hAnsi="Times New Roman" w:cs="Times New Roman"/>
                      <w:color w:val="auto"/>
                    </w:rPr>
                    <w:t>编号：</w:t>
                  </w:r>
                  <w:r>
                    <w:rPr>
                      <w:color w:val="auto"/>
                      <w:szCs w:val="21"/>
                    </w:rPr>
                    <w:t>BYGC/YQ-08</w:t>
                  </w:r>
                  <w:r>
                    <w:rPr>
                      <w:rFonts w:hint="eastAsia"/>
                      <w:color w:val="auto"/>
                      <w:szCs w:val="21"/>
                      <w:lang w:eastAsia="zh-CN"/>
                    </w:rPr>
                    <w:t>；</w:t>
                  </w:r>
                </w:p>
                <w:p>
                  <w:pPr>
                    <w:pStyle w:val="53"/>
                    <w:ind w:firstLine="420" w:firstLineChars="200"/>
                    <w:jc w:val="left"/>
                    <w:rPr>
                      <w:rFonts w:hint="default" w:ascii="Times New Roman" w:hAnsi="Times New Roman" w:eastAsia="宋体" w:cs="Times New Roman"/>
                      <w:color w:val="auto"/>
                      <w:lang w:val="en-US" w:eastAsia="zh-CN"/>
                    </w:rPr>
                  </w:pPr>
                  <w:r>
                    <w:rPr>
                      <w:rFonts w:hint="eastAsia" w:cs="Times New Roman"/>
                      <w:color w:val="auto"/>
                      <w:lang w:val="en-US" w:eastAsia="zh-CN"/>
                    </w:rPr>
                    <w:t>校准单位：</w:t>
                  </w:r>
                  <w:r>
                    <w:rPr>
                      <w:rFonts w:hint="eastAsia"/>
                      <w:color w:val="auto"/>
                      <w:szCs w:val="21"/>
                    </w:rPr>
                    <w:t>深圳市计量质量检测研究院</w:t>
                  </w:r>
                </w:p>
                <w:p>
                  <w:pPr>
                    <w:pStyle w:val="53"/>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校准证书编号：</w:t>
                  </w:r>
                  <w:r>
                    <w:rPr>
                      <w:color w:val="auto"/>
                      <w:szCs w:val="21"/>
                    </w:rPr>
                    <w:t>2191425501</w:t>
                  </w:r>
                </w:p>
                <w:p>
                  <w:pPr>
                    <w:pStyle w:val="53"/>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有效期：</w:t>
                  </w:r>
                  <w:r>
                    <w:rPr>
                      <w:color w:val="auto"/>
                      <w:szCs w:val="21"/>
                    </w:rPr>
                    <w:t>202</w:t>
                  </w:r>
                  <w:r>
                    <w:rPr>
                      <w:rFonts w:hint="eastAsia"/>
                      <w:color w:val="auto"/>
                      <w:szCs w:val="21"/>
                    </w:rPr>
                    <w:t>1</w:t>
                  </w:r>
                  <w:r>
                    <w:rPr>
                      <w:color w:val="auto"/>
                      <w:szCs w:val="21"/>
                    </w:rPr>
                    <w:t>.10.16~2022.10.15</w:t>
                  </w:r>
                </w:p>
              </w:tc>
            </w:tr>
          </w:tbl>
          <w:p>
            <w:pPr>
              <w:pStyle w:val="49"/>
              <w:rPr>
                <w:rFonts w:hint="default" w:ascii="Times New Roman" w:hAnsi="Times New Roman" w:cs="Times New Roman"/>
                <w:color w:val="auto"/>
              </w:rPr>
            </w:pPr>
            <w:r>
              <w:rPr>
                <w:rFonts w:hint="default" w:ascii="Times New Roman" w:hAnsi="Times New Roman" w:cs="Times New Roman"/>
                <w:color w:val="auto"/>
              </w:rPr>
              <w:t>表8-2周边地表γ辐射环境监测结果</w:t>
            </w:r>
          </w:p>
          <w:tbl>
            <w:tblPr>
              <w:tblStyle w:val="23"/>
              <w:tblW w:w="80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07"/>
              <w:gridCol w:w="3030"/>
              <w:gridCol w:w="30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7" w:type="dxa"/>
                  <w:noWrap w:val="0"/>
                  <w:vAlign w:val="top"/>
                </w:tcPr>
                <w:p>
                  <w:pPr>
                    <w:pStyle w:val="53"/>
                    <w:rPr>
                      <w:rFonts w:hint="default" w:ascii="Times New Roman" w:hAnsi="Times New Roman" w:cs="Times New Roman"/>
                      <w:color w:val="auto"/>
                    </w:rPr>
                  </w:pPr>
                  <w:r>
                    <w:rPr>
                      <w:rFonts w:hint="default" w:ascii="Times New Roman" w:hAnsi="Times New Roman" w:cs="Times New Roman"/>
                      <w:color w:val="auto"/>
                    </w:rPr>
                    <w:t>序号</w:t>
                  </w:r>
                </w:p>
              </w:tc>
              <w:tc>
                <w:tcPr>
                  <w:tcW w:w="3030" w:type="dxa"/>
                  <w:noWrap w:val="0"/>
                  <w:vAlign w:val="top"/>
                </w:tcPr>
                <w:p>
                  <w:pPr>
                    <w:pStyle w:val="53"/>
                    <w:rPr>
                      <w:rFonts w:hint="default" w:ascii="Times New Roman" w:hAnsi="Times New Roman" w:cs="Times New Roman"/>
                      <w:color w:val="auto"/>
                    </w:rPr>
                  </w:pPr>
                  <w:r>
                    <w:rPr>
                      <w:rFonts w:hint="default" w:ascii="Times New Roman" w:hAnsi="Times New Roman" w:cs="Times New Roman"/>
                      <w:color w:val="auto"/>
                    </w:rPr>
                    <w:t>测量位置</w:t>
                  </w:r>
                </w:p>
              </w:tc>
              <w:tc>
                <w:tcPr>
                  <w:tcW w:w="3038" w:type="dxa"/>
                  <w:noWrap w:val="0"/>
                  <w:vAlign w:val="top"/>
                </w:tcPr>
                <w:p>
                  <w:pPr>
                    <w:pStyle w:val="53"/>
                    <w:rPr>
                      <w:rFonts w:hint="default" w:ascii="Times New Roman" w:hAnsi="Times New Roman" w:cs="Times New Roman"/>
                      <w:color w:val="auto"/>
                    </w:rPr>
                  </w:pPr>
                  <w:r>
                    <w:rPr>
                      <w:rFonts w:hint="default" w:ascii="Times New Roman" w:hAnsi="Times New Roman" w:cs="Times New Roman"/>
                      <w:color w:val="auto"/>
                    </w:rPr>
                    <w:t>检测结果(</w:t>
                  </w:r>
                  <w:r>
                    <w:rPr>
                      <w:rFonts w:hint="default" w:ascii="Times New Roman" w:hAnsi="Times New Roman" w:cs="Times New Roman"/>
                      <w:color w:val="auto"/>
                    </w:rPr>
                    <w:sym w:font="Symbol" w:char="F06D"/>
                  </w:r>
                  <w:r>
                    <w:rPr>
                      <w:rFonts w:hint="default" w:ascii="Times New Roman" w:hAnsi="Times New Roman" w:cs="Times New Roman"/>
                      <w:color w:val="auto"/>
                    </w:rPr>
                    <w:t>Sv/h)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7" w:type="dxa"/>
                  <w:noWrap w:val="0"/>
                  <w:vAlign w:val="top"/>
                </w:tcPr>
                <w:p>
                  <w:pPr>
                    <w:pStyle w:val="53"/>
                    <w:rPr>
                      <w:rFonts w:hint="default" w:ascii="Times New Roman" w:hAnsi="Times New Roman" w:cs="Times New Roman"/>
                      <w:color w:val="auto"/>
                    </w:rPr>
                  </w:pPr>
                  <w:r>
                    <w:rPr>
                      <w:rFonts w:hint="default" w:ascii="Times New Roman" w:hAnsi="Times New Roman" w:cs="Times New Roman"/>
                      <w:color w:val="auto"/>
                    </w:rPr>
                    <w:t>1</w:t>
                  </w:r>
                </w:p>
              </w:tc>
              <w:tc>
                <w:tcPr>
                  <w:tcW w:w="3030"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rPr>
                  </w:pPr>
                  <w:r>
                    <w:rPr>
                      <w:rFonts w:hint="eastAsia" w:ascii="Times New Roman" w:hAnsi="Times New Roman" w:eastAsia="宋体" w:cs="Times New Roman"/>
                      <w:szCs w:val="21"/>
                      <w:lang w:val="en-US" w:eastAsia="zh-CN"/>
                    </w:rPr>
                    <w:t>车间内</w:t>
                  </w:r>
                  <w:r>
                    <w:rPr>
                      <w:rFonts w:hint="eastAsia" w:ascii="Times New Roman" w:hAnsi="Times New Roman" w:eastAsia="宋体" w:cs="Times New Roman"/>
                      <w:szCs w:val="21"/>
                    </w:rPr>
                    <w:t>拟建</w:t>
                  </w:r>
                  <w:r>
                    <w:rPr>
                      <w:rFonts w:hint="eastAsia" w:ascii="Times New Roman" w:hAnsi="Times New Roman" w:eastAsia="宋体" w:cs="Times New Roman"/>
                      <w:szCs w:val="21"/>
                      <w:lang w:eastAsia="zh-CN"/>
                    </w:rPr>
                    <w:t>探伤</w:t>
                  </w:r>
                  <w:r>
                    <w:rPr>
                      <w:rFonts w:hint="eastAsia" w:ascii="Times New Roman" w:hAnsi="Times New Roman" w:eastAsia="宋体" w:cs="Times New Roman"/>
                      <w:szCs w:val="21"/>
                      <w:lang w:val="en-US" w:eastAsia="zh-CN"/>
                    </w:rPr>
                    <w:t>室中心</w:t>
                  </w:r>
                </w:p>
              </w:tc>
              <w:tc>
                <w:tcPr>
                  <w:tcW w:w="3038" w:type="dxa"/>
                  <w:noWrap w:val="0"/>
                  <w:vAlign w:val="center"/>
                </w:tcPr>
                <w:p>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default" w:ascii="Times New Roman" w:hAnsi="Times New Roman" w:cs="Times New Roman"/>
                      <w:color w:val="auto"/>
                    </w:rPr>
                  </w:pPr>
                  <w:r>
                    <w:rPr>
                      <w:rFonts w:hint="default" w:ascii="Times New Roman" w:hAnsi="Times New Roman" w:eastAsia="等线" w:cs="Times New Roman"/>
                      <w:i w:val="0"/>
                      <w:iCs w:val="0"/>
                      <w:color w:val="000000"/>
                      <w:kern w:val="0"/>
                      <w:sz w:val="22"/>
                      <w:szCs w:val="22"/>
                      <w:u w:val="none"/>
                      <w:lang w:val="en-US" w:eastAsia="zh-CN" w:bidi="ar"/>
                    </w:rPr>
                    <w:t>0.082</w:t>
                  </w:r>
                  <w:r>
                    <w:rPr>
                      <w:rFonts w:hint="eastAsia" w:ascii="Times New Roman" w:hAnsi="Times New Roman" w:eastAsia="等线" w:cs="Times New Roman"/>
                      <w:i w:val="0"/>
                      <w:iCs w:val="0"/>
                      <w:color w:val="000000"/>
                      <w:kern w:val="0"/>
                      <w:sz w:val="22"/>
                      <w:szCs w:val="22"/>
                      <w:u w:val="none"/>
                      <w:lang w:val="en-US" w:eastAsia="zh-CN" w:bidi="ar"/>
                    </w:rPr>
                    <w:t>±0.010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7" w:type="dxa"/>
                  <w:noWrap w:val="0"/>
                  <w:vAlign w:val="top"/>
                </w:tcPr>
                <w:p>
                  <w:pPr>
                    <w:pStyle w:val="53"/>
                    <w:rPr>
                      <w:rFonts w:hint="default" w:ascii="Times New Roman" w:hAnsi="Times New Roman" w:cs="Times New Roman"/>
                      <w:color w:val="auto"/>
                    </w:rPr>
                  </w:pPr>
                  <w:r>
                    <w:rPr>
                      <w:rFonts w:hint="default" w:ascii="Times New Roman" w:hAnsi="Times New Roman" w:cs="Times New Roman"/>
                      <w:color w:val="auto"/>
                    </w:rPr>
                    <w:t>2</w:t>
                  </w:r>
                </w:p>
              </w:tc>
              <w:tc>
                <w:tcPr>
                  <w:tcW w:w="3030"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rPr>
                  </w:pPr>
                  <w:r>
                    <w:rPr>
                      <w:rFonts w:hint="eastAsia" w:ascii="Times New Roman" w:hAnsi="Times New Roman" w:eastAsia="宋体" w:cs="Times New Roman"/>
                      <w:szCs w:val="21"/>
                      <w:lang w:val="en-US" w:eastAsia="zh-CN"/>
                    </w:rPr>
                    <w:t>车间东侧道路</w:t>
                  </w:r>
                </w:p>
              </w:tc>
              <w:tc>
                <w:tcPr>
                  <w:tcW w:w="3038" w:type="dxa"/>
                  <w:noWrap w:val="0"/>
                  <w:vAlign w:val="center"/>
                </w:tcPr>
                <w:p>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default" w:ascii="Times New Roman" w:hAnsi="Times New Roman" w:cs="Times New Roman"/>
                      <w:color w:val="auto"/>
                    </w:rPr>
                  </w:pPr>
                  <w:r>
                    <w:rPr>
                      <w:rFonts w:hint="default" w:ascii="Times New Roman" w:hAnsi="Times New Roman" w:eastAsia="等线" w:cs="Times New Roman"/>
                      <w:i w:val="0"/>
                      <w:iCs w:val="0"/>
                      <w:color w:val="000000"/>
                      <w:kern w:val="0"/>
                      <w:sz w:val="22"/>
                      <w:szCs w:val="22"/>
                      <w:u w:val="none"/>
                      <w:lang w:val="en-US" w:eastAsia="zh-CN" w:bidi="ar"/>
                    </w:rPr>
                    <w:t>0.095</w:t>
                  </w:r>
                  <w:r>
                    <w:rPr>
                      <w:rFonts w:hint="eastAsia" w:ascii="Times New Roman" w:hAnsi="Times New Roman" w:eastAsia="等线" w:cs="Times New Roman"/>
                      <w:i w:val="0"/>
                      <w:iCs w:val="0"/>
                      <w:color w:val="000000"/>
                      <w:kern w:val="0"/>
                      <w:sz w:val="22"/>
                      <w:szCs w:val="22"/>
                      <w:u w:val="none"/>
                      <w:lang w:val="en-US" w:eastAsia="zh-CN" w:bidi="ar"/>
                    </w:rPr>
                    <w:t>±0.003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7" w:type="dxa"/>
                  <w:noWrap w:val="0"/>
                  <w:vAlign w:val="top"/>
                </w:tcPr>
                <w:p>
                  <w:pPr>
                    <w:pStyle w:val="53"/>
                    <w:rPr>
                      <w:rFonts w:hint="default" w:ascii="Times New Roman" w:hAnsi="Times New Roman" w:cs="Times New Roman"/>
                      <w:color w:val="auto"/>
                    </w:rPr>
                  </w:pPr>
                  <w:r>
                    <w:rPr>
                      <w:rFonts w:hint="default" w:ascii="Times New Roman" w:hAnsi="Times New Roman" w:cs="Times New Roman"/>
                      <w:color w:val="auto"/>
                    </w:rPr>
                    <w:t>3</w:t>
                  </w:r>
                </w:p>
              </w:tc>
              <w:tc>
                <w:tcPr>
                  <w:tcW w:w="3030"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rPr>
                  </w:pPr>
                  <w:r>
                    <w:rPr>
                      <w:rFonts w:hint="eastAsia" w:ascii="Times New Roman" w:hAnsi="Times New Roman" w:eastAsia="宋体" w:cs="Times New Roman"/>
                      <w:szCs w:val="21"/>
                      <w:lang w:val="en-US" w:eastAsia="zh-CN"/>
                    </w:rPr>
                    <w:t>车间南侧地磅房</w:t>
                  </w:r>
                </w:p>
              </w:tc>
              <w:tc>
                <w:tcPr>
                  <w:tcW w:w="3038" w:type="dxa"/>
                  <w:noWrap w:val="0"/>
                  <w:vAlign w:val="center"/>
                </w:tcPr>
                <w:p>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default" w:ascii="Times New Roman" w:hAnsi="Times New Roman" w:cs="Times New Roman"/>
                      <w:color w:val="auto"/>
                    </w:rPr>
                  </w:pPr>
                  <w:r>
                    <w:rPr>
                      <w:rFonts w:hint="default" w:ascii="Times New Roman" w:hAnsi="Times New Roman" w:eastAsia="等线" w:cs="Times New Roman"/>
                      <w:i w:val="0"/>
                      <w:iCs w:val="0"/>
                      <w:color w:val="000000"/>
                      <w:kern w:val="0"/>
                      <w:sz w:val="22"/>
                      <w:szCs w:val="22"/>
                      <w:u w:val="none"/>
                      <w:lang w:val="en-US" w:eastAsia="zh-CN" w:bidi="ar"/>
                    </w:rPr>
                    <w:t>0.103</w:t>
                  </w:r>
                  <w:r>
                    <w:rPr>
                      <w:rFonts w:hint="eastAsia" w:ascii="Times New Roman" w:hAnsi="Times New Roman" w:eastAsia="等线" w:cs="Times New Roman"/>
                      <w:i w:val="0"/>
                      <w:iCs w:val="0"/>
                      <w:color w:val="000000"/>
                      <w:kern w:val="0"/>
                      <w:sz w:val="22"/>
                      <w:szCs w:val="22"/>
                      <w:u w:val="none"/>
                      <w:lang w:val="en-US" w:eastAsia="zh-CN" w:bidi="ar"/>
                    </w:rPr>
                    <w:t>±0.003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7" w:type="dxa"/>
                  <w:noWrap w:val="0"/>
                  <w:vAlign w:val="top"/>
                </w:tcPr>
                <w:p>
                  <w:pPr>
                    <w:pStyle w:val="53"/>
                    <w:rPr>
                      <w:rFonts w:hint="default" w:ascii="Times New Roman" w:hAnsi="Times New Roman" w:cs="Times New Roman"/>
                      <w:color w:val="auto"/>
                    </w:rPr>
                  </w:pPr>
                  <w:r>
                    <w:rPr>
                      <w:rFonts w:hint="default" w:ascii="Times New Roman" w:hAnsi="Times New Roman" w:cs="Times New Roman"/>
                      <w:color w:val="auto"/>
                    </w:rPr>
                    <w:t>4</w:t>
                  </w:r>
                </w:p>
              </w:tc>
              <w:tc>
                <w:tcPr>
                  <w:tcW w:w="3030"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rPr>
                  </w:pPr>
                  <w:r>
                    <w:rPr>
                      <w:rFonts w:hint="eastAsia" w:ascii="Times New Roman" w:hAnsi="Times New Roman" w:eastAsia="宋体" w:cs="Times New Roman"/>
                      <w:szCs w:val="21"/>
                      <w:lang w:val="en-US" w:eastAsia="zh-CN"/>
                    </w:rPr>
                    <w:t>车间西侧空地</w:t>
                  </w:r>
                </w:p>
              </w:tc>
              <w:tc>
                <w:tcPr>
                  <w:tcW w:w="3038" w:type="dxa"/>
                  <w:noWrap w:val="0"/>
                  <w:vAlign w:val="bottom"/>
                </w:tcPr>
                <w:p>
                  <w:pPr>
                    <w:keepNext w:val="0"/>
                    <w:keepLines w:val="0"/>
                    <w:pageBreakBefore w:val="0"/>
                    <w:widowControl/>
                    <w:suppressLineNumbers w:val="0"/>
                    <w:kinsoku/>
                    <w:wordWrap/>
                    <w:overflowPunct/>
                    <w:topLinePunct w:val="0"/>
                    <w:autoSpaceDE/>
                    <w:autoSpaceDN/>
                    <w:bidi w:val="0"/>
                    <w:snapToGrid/>
                    <w:spacing w:line="240" w:lineRule="auto"/>
                    <w:jc w:val="center"/>
                    <w:textAlignment w:val="bottom"/>
                    <w:rPr>
                      <w:rFonts w:hint="default" w:ascii="Times New Roman" w:hAnsi="Times New Roman" w:cs="Times New Roman"/>
                      <w:color w:val="auto"/>
                    </w:rPr>
                  </w:pPr>
                  <w:r>
                    <w:rPr>
                      <w:rFonts w:hint="default" w:ascii="Times New Roman" w:hAnsi="Times New Roman" w:eastAsia="等线" w:cs="Times New Roman"/>
                      <w:i w:val="0"/>
                      <w:iCs w:val="0"/>
                      <w:color w:val="000000"/>
                      <w:kern w:val="0"/>
                      <w:sz w:val="22"/>
                      <w:szCs w:val="22"/>
                      <w:u w:val="none"/>
                      <w:lang w:val="en-US" w:eastAsia="zh-CN" w:bidi="ar"/>
                    </w:rPr>
                    <w:t>0.100</w:t>
                  </w:r>
                  <w:r>
                    <w:rPr>
                      <w:rFonts w:hint="eastAsia" w:ascii="Times New Roman" w:hAnsi="Times New Roman" w:eastAsia="等线" w:cs="Times New Roman"/>
                      <w:i w:val="0"/>
                      <w:iCs w:val="0"/>
                      <w:color w:val="000000"/>
                      <w:kern w:val="0"/>
                      <w:sz w:val="22"/>
                      <w:szCs w:val="22"/>
                      <w:u w:val="none"/>
                      <w:lang w:val="en-US" w:eastAsia="zh-CN" w:bidi="ar"/>
                    </w:rPr>
                    <w:t>±0.005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7" w:type="dxa"/>
                  <w:noWrap w:val="0"/>
                  <w:vAlign w:val="top"/>
                </w:tcPr>
                <w:p>
                  <w:pPr>
                    <w:pStyle w:val="53"/>
                    <w:rPr>
                      <w:rFonts w:hint="default" w:ascii="Times New Roman" w:hAnsi="Times New Roman" w:cs="Times New Roman"/>
                      <w:color w:val="auto"/>
                    </w:rPr>
                  </w:pPr>
                  <w:r>
                    <w:rPr>
                      <w:rFonts w:hint="default" w:ascii="Times New Roman" w:hAnsi="Times New Roman" w:cs="Times New Roman"/>
                      <w:color w:val="auto"/>
                    </w:rPr>
                    <w:t>5</w:t>
                  </w:r>
                </w:p>
              </w:tc>
              <w:tc>
                <w:tcPr>
                  <w:tcW w:w="3030"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rPr>
                  </w:pPr>
                  <w:r>
                    <w:rPr>
                      <w:rFonts w:hint="eastAsia" w:ascii="Times New Roman" w:hAnsi="Times New Roman" w:eastAsia="宋体" w:cs="Times New Roman"/>
                      <w:szCs w:val="21"/>
                      <w:lang w:val="en-US" w:eastAsia="zh-CN"/>
                    </w:rPr>
                    <w:t>车间北侧道路</w:t>
                  </w:r>
                </w:p>
              </w:tc>
              <w:tc>
                <w:tcPr>
                  <w:tcW w:w="3038" w:type="dxa"/>
                  <w:noWrap w:val="0"/>
                  <w:vAlign w:val="bottom"/>
                </w:tcPr>
                <w:p>
                  <w:pPr>
                    <w:keepNext w:val="0"/>
                    <w:keepLines w:val="0"/>
                    <w:pageBreakBefore w:val="0"/>
                    <w:widowControl/>
                    <w:suppressLineNumbers w:val="0"/>
                    <w:kinsoku/>
                    <w:wordWrap/>
                    <w:overflowPunct/>
                    <w:topLinePunct w:val="0"/>
                    <w:autoSpaceDE/>
                    <w:autoSpaceDN/>
                    <w:bidi w:val="0"/>
                    <w:snapToGrid/>
                    <w:spacing w:line="240" w:lineRule="auto"/>
                    <w:jc w:val="center"/>
                    <w:textAlignment w:val="bottom"/>
                    <w:rPr>
                      <w:rFonts w:hint="default" w:ascii="Times New Roman" w:hAnsi="Times New Roman" w:cs="Times New Roman"/>
                      <w:color w:val="auto"/>
                    </w:rPr>
                  </w:pPr>
                  <w:r>
                    <w:rPr>
                      <w:rFonts w:hint="default" w:ascii="Times New Roman" w:hAnsi="Times New Roman" w:eastAsia="等线" w:cs="Times New Roman"/>
                      <w:i w:val="0"/>
                      <w:iCs w:val="0"/>
                      <w:color w:val="000000"/>
                      <w:kern w:val="0"/>
                      <w:sz w:val="22"/>
                      <w:szCs w:val="22"/>
                      <w:u w:val="none"/>
                      <w:lang w:val="en-US" w:eastAsia="zh-CN" w:bidi="ar"/>
                    </w:rPr>
                    <w:t>0.096</w:t>
                  </w:r>
                  <w:r>
                    <w:rPr>
                      <w:rFonts w:hint="eastAsia" w:ascii="Times New Roman" w:hAnsi="Times New Roman" w:eastAsia="等线" w:cs="Times New Roman"/>
                      <w:i w:val="0"/>
                      <w:iCs w:val="0"/>
                      <w:color w:val="000000"/>
                      <w:kern w:val="0"/>
                      <w:sz w:val="22"/>
                      <w:szCs w:val="22"/>
                      <w:u w:val="none"/>
                      <w:lang w:val="en-US" w:eastAsia="zh-CN" w:bidi="ar"/>
                    </w:rPr>
                    <w:t>±0.004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7" w:type="dxa"/>
                  <w:noWrap w:val="0"/>
                  <w:vAlign w:val="top"/>
                </w:tcPr>
                <w:p>
                  <w:pPr>
                    <w:pStyle w:val="53"/>
                    <w:rPr>
                      <w:rFonts w:hint="eastAsia" w:ascii="Times New Roman" w:hAnsi="Times New Roman" w:eastAsia="宋体" w:cs="Times New Roman"/>
                      <w:color w:val="auto"/>
                      <w:lang w:val="en-US" w:eastAsia="zh-CN"/>
                    </w:rPr>
                  </w:pPr>
                  <w:r>
                    <w:rPr>
                      <w:rFonts w:hint="eastAsia" w:cs="Times New Roman"/>
                      <w:color w:val="auto"/>
                      <w:lang w:val="en-US" w:eastAsia="zh-CN"/>
                    </w:rPr>
                    <w:t>6</w:t>
                  </w:r>
                </w:p>
              </w:tc>
              <w:tc>
                <w:tcPr>
                  <w:tcW w:w="3030"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color w:val="auto"/>
                      <w:szCs w:val="21"/>
                    </w:rPr>
                  </w:pPr>
                  <w:r>
                    <w:rPr>
                      <w:rFonts w:hint="eastAsia" w:ascii="Times New Roman" w:hAnsi="Times New Roman" w:eastAsia="宋体" w:cs="Times New Roman"/>
                      <w:szCs w:val="21"/>
                      <w:lang w:val="en-US" w:eastAsia="zh-CN"/>
                    </w:rPr>
                    <w:t>车间北侧高新园区厂房内</w:t>
                  </w:r>
                </w:p>
              </w:tc>
              <w:tc>
                <w:tcPr>
                  <w:tcW w:w="3038" w:type="dxa"/>
                  <w:noWrap w:val="0"/>
                  <w:vAlign w:val="bottom"/>
                </w:tcPr>
                <w:p>
                  <w:pPr>
                    <w:keepNext w:val="0"/>
                    <w:keepLines w:val="0"/>
                    <w:pageBreakBefore w:val="0"/>
                    <w:widowControl/>
                    <w:suppressLineNumbers w:val="0"/>
                    <w:kinsoku/>
                    <w:wordWrap/>
                    <w:overflowPunct/>
                    <w:topLinePunct w:val="0"/>
                    <w:autoSpaceDE/>
                    <w:autoSpaceDN/>
                    <w:bidi w:val="0"/>
                    <w:snapToGrid/>
                    <w:spacing w:line="240" w:lineRule="auto"/>
                    <w:jc w:val="center"/>
                    <w:textAlignment w:val="bottom"/>
                    <w:rPr>
                      <w:rFonts w:hint="default" w:ascii="Times New Roman" w:hAnsi="Times New Roman" w:cs="Times New Roman"/>
                      <w:color w:val="auto"/>
                      <w:szCs w:val="21"/>
                    </w:rPr>
                  </w:pPr>
                  <w:r>
                    <w:rPr>
                      <w:rFonts w:hint="default" w:ascii="Times New Roman" w:hAnsi="Times New Roman" w:eastAsia="等线" w:cs="Times New Roman"/>
                      <w:i w:val="0"/>
                      <w:iCs w:val="0"/>
                      <w:color w:val="000000"/>
                      <w:kern w:val="0"/>
                      <w:sz w:val="22"/>
                      <w:szCs w:val="22"/>
                      <w:u w:val="none"/>
                      <w:lang w:val="en-US" w:eastAsia="zh-CN" w:bidi="ar"/>
                    </w:rPr>
                    <w:t>0.075</w:t>
                  </w:r>
                  <w:r>
                    <w:rPr>
                      <w:rFonts w:hint="eastAsia" w:ascii="Times New Roman" w:hAnsi="Times New Roman" w:eastAsia="等线" w:cs="Times New Roman"/>
                      <w:i w:val="0"/>
                      <w:iCs w:val="0"/>
                      <w:color w:val="000000"/>
                      <w:kern w:val="0"/>
                      <w:sz w:val="22"/>
                      <w:szCs w:val="22"/>
                      <w:u w:val="none"/>
                      <w:lang w:val="en-US" w:eastAsia="zh-CN" w:bidi="ar"/>
                    </w:rPr>
                    <w:t>±0.004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7" w:type="dxa"/>
                  <w:noWrap w:val="0"/>
                  <w:vAlign w:val="top"/>
                </w:tcPr>
                <w:p>
                  <w:pPr>
                    <w:pStyle w:val="53"/>
                    <w:rPr>
                      <w:rFonts w:hint="eastAsia" w:ascii="Times New Roman" w:hAnsi="Times New Roman" w:eastAsia="宋体" w:cs="Times New Roman"/>
                      <w:color w:val="auto"/>
                      <w:lang w:val="en-US" w:eastAsia="zh-CN"/>
                    </w:rPr>
                  </w:pPr>
                  <w:r>
                    <w:rPr>
                      <w:rFonts w:hint="eastAsia" w:cs="Times New Roman"/>
                      <w:color w:val="auto"/>
                      <w:lang w:val="en-US" w:eastAsia="zh-CN"/>
                    </w:rPr>
                    <w:t>7</w:t>
                  </w:r>
                </w:p>
              </w:tc>
              <w:tc>
                <w:tcPr>
                  <w:tcW w:w="3030"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color w:val="auto"/>
                      <w:szCs w:val="21"/>
                    </w:rPr>
                  </w:pPr>
                  <w:r>
                    <w:rPr>
                      <w:rFonts w:hint="eastAsia" w:ascii="Times New Roman" w:hAnsi="Times New Roman" w:eastAsia="宋体" w:cs="Times New Roman"/>
                      <w:szCs w:val="21"/>
                      <w:lang w:val="en-US" w:eastAsia="zh-CN"/>
                    </w:rPr>
                    <w:t>所在车间中心</w:t>
                  </w:r>
                </w:p>
              </w:tc>
              <w:tc>
                <w:tcPr>
                  <w:tcW w:w="3038" w:type="dxa"/>
                  <w:noWrap w:val="0"/>
                  <w:vAlign w:val="bottom"/>
                </w:tcPr>
                <w:p>
                  <w:pPr>
                    <w:keepNext w:val="0"/>
                    <w:keepLines w:val="0"/>
                    <w:pageBreakBefore w:val="0"/>
                    <w:widowControl/>
                    <w:suppressLineNumbers w:val="0"/>
                    <w:kinsoku/>
                    <w:wordWrap/>
                    <w:overflowPunct/>
                    <w:topLinePunct w:val="0"/>
                    <w:autoSpaceDE/>
                    <w:autoSpaceDN/>
                    <w:bidi w:val="0"/>
                    <w:snapToGrid/>
                    <w:spacing w:line="240" w:lineRule="auto"/>
                    <w:jc w:val="center"/>
                    <w:textAlignment w:val="bottom"/>
                    <w:rPr>
                      <w:rFonts w:hint="default" w:ascii="Times New Roman" w:hAnsi="Times New Roman" w:cs="Times New Roman"/>
                      <w:color w:val="auto"/>
                      <w:szCs w:val="21"/>
                    </w:rPr>
                  </w:pPr>
                  <w:r>
                    <w:rPr>
                      <w:rFonts w:hint="default" w:ascii="Times New Roman" w:hAnsi="Times New Roman" w:eastAsia="等线" w:cs="Times New Roman"/>
                      <w:i w:val="0"/>
                      <w:iCs w:val="0"/>
                      <w:color w:val="000000"/>
                      <w:kern w:val="0"/>
                      <w:sz w:val="22"/>
                      <w:szCs w:val="22"/>
                      <w:u w:val="none"/>
                      <w:lang w:val="en-US" w:eastAsia="zh-CN" w:bidi="ar"/>
                    </w:rPr>
                    <w:t>0.097</w:t>
                  </w:r>
                  <w:r>
                    <w:rPr>
                      <w:rFonts w:hint="eastAsia" w:ascii="Times New Roman" w:hAnsi="Times New Roman" w:eastAsia="等线" w:cs="Times New Roman"/>
                      <w:i w:val="0"/>
                      <w:iCs w:val="0"/>
                      <w:color w:val="000000"/>
                      <w:kern w:val="0"/>
                      <w:sz w:val="22"/>
                      <w:szCs w:val="22"/>
                      <w:u w:val="none"/>
                      <w:lang w:val="en-US" w:eastAsia="zh-CN" w:bidi="ar"/>
                    </w:rPr>
                    <w:t>±0.005</w:t>
                  </w:r>
                </w:p>
              </w:tc>
            </w:tr>
          </w:tbl>
          <w:p>
            <w:pPr>
              <w:pStyle w:val="47"/>
              <w:rPr>
                <w:rFonts w:hint="default" w:ascii="Times New Roman" w:hAnsi="Times New Roman" w:cs="Times New Roman"/>
                <w:color w:val="auto"/>
              </w:rPr>
            </w:pPr>
            <w:r>
              <w:rPr>
                <w:rFonts w:hint="default" w:ascii="Times New Roman" w:hAnsi="Times New Roman" w:cs="Times New Roman"/>
                <w:color w:val="auto"/>
              </w:rPr>
              <w:t>根据监测结果，本项目工作场所周围本底γ辐射水平（0.0</w:t>
            </w:r>
            <w:r>
              <w:rPr>
                <w:rFonts w:hint="eastAsia" w:cs="Times New Roman"/>
                <w:color w:val="auto"/>
                <w:lang w:val="en-US" w:eastAsia="zh-CN"/>
              </w:rPr>
              <w:t>75</w:t>
            </w:r>
            <w:r>
              <w:rPr>
                <w:rFonts w:hint="default" w:ascii="Times New Roman" w:hAnsi="Times New Roman" w:cs="Times New Roman"/>
                <w:color w:val="auto"/>
              </w:rPr>
              <w:t>～0.</w:t>
            </w:r>
            <w:r>
              <w:rPr>
                <w:rFonts w:hint="eastAsia" w:cs="Times New Roman"/>
                <w:color w:val="auto"/>
                <w:lang w:val="en-US" w:eastAsia="zh-CN"/>
              </w:rPr>
              <w:t>103</w:t>
            </w:r>
            <w:r>
              <w:rPr>
                <w:rFonts w:hint="default" w:ascii="Times New Roman" w:hAnsi="Times New Roman" w:cs="Times New Roman"/>
                <w:color w:val="auto"/>
              </w:rPr>
              <w:t>μ</w:t>
            </w:r>
            <w:r>
              <w:rPr>
                <w:rFonts w:hint="eastAsia" w:cs="Times New Roman"/>
                <w:color w:val="auto"/>
                <w:lang w:val="en-US" w:eastAsia="zh-CN"/>
              </w:rPr>
              <w:t>Sv</w:t>
            </w:r>
            <w:r>
              <w:rPr>
                <w:rFonts w:hint="default" w:ascii="Times New Roman" w:hAnsi="Times New Roman" w:cs="Times New Roman"/>
                <w:color w:val="auto"/>
              </w:rPr>
              <w:t>/h）属于</w:t>
            </w:r>
            <w:r>
              <w:rPr>
                <w:rFonts w:hint="eastAsia" w:cs="Times New Roman"/>
                <w:color w:val="auto"/>
                <w:lang w:val="en-US" w:eastAsia="zh-CN"/>
              </w:rPr>
              <w:t>长沙</w:t>
            </w:r>
            <w:r>
              <w:rPr>
                <w:rFonts w:hint="default" w:ascii="Times New Roman" w:hAnsi="Times New Roman" w:cs="Times New Roman"/>
                <w:color w:val="auto"/>
              </w:rPr>
              <w:t>市天然辐射范围内（范围0.06</w:t>
            </w:r>
            <w:r>
              <w:rPr>
                <w:rFonts w:hint="eastAsia" w:cs="Times New Roman"/>
                <w:color w:val="auto"/>
                <w:lang w:val="en-US" w:eastAsia="zh-CN"/>
              </w:rPr>
              <w:t>28</w:t>
            </w:r>
            <w:r>
              <w:rPr>
                <w:rFonts w:hint="default" w:ascii="Times New Roman" w:hAnsi="Times New Roman" w:cs="Times New Roman"/>
                <w:color w:val="auto"/>
              </w:rPr>
              <w:t>～0.1</w:t>
            </w:r>
            <w:r>
              <w:rPr>
                <w:rFonts w:hint="eastAsia" w:cs="Times New Roman"/>
                <w:color w:val="auto"/>
                <w:lang w:val="en-US" w:eastAsia="zh-CN"/>
              </w:rPr>
              <w:t>46</w:t>
            </w:r>
            <w:r>
              <w:rPr>
                <w:rFonts w:hint="default" w:ascii="Times New Roman" w:hAnsi="Times New Roman" w:cs="Times New Roman"/>
                <w:color w:val="auto"/>
              </w:rPr>
              <w:t>μGy/h）。[数据来自《辐射防护》（第11卷，第2期，湖南省环境天然贯穿辐射水平调查研究，湖南省环境监测中心站，1991年3月。</w:t>
            </w:r>
          </w:p>
        </w:tc>
      </w:tr>
    </w:tbl>
    <w:p>
      <w:pPr>
        <w:pStyle w:val="51"/>
        <w:rPr>
          <w:color w:val="auto"/>
        </w:rPr>
        <w:sectPr>
          <w:pgSz w:w="11906" w:h="16838"/>
          <w:pgMar w:top="1440" w:right="1800" w:bottom="1440" w:left="1800" w:header="851" w:footer="992" w:gutter="0"/>
          <w:cols w:space="720" w:num="1"/>
          <w:docGrid w:type="lines" w:linePitch="312" w:charSpace="0"/>
        </w:sectPr>
      </w:pPr>
    </w:p>
    <w:p>
      <w:pPr>
        <w:pStyle w:val="51"/>
        <w:rPr>
          <w:color w:val="auto"/>
        </w:rPr>
      </w:pPr>
      <w:bookmarkStart w:id="129" w:name="_Toc5711"/>
      <w:r>
        <w:rPr>
          <w:rFonts w:hint="eastAsia"/>
          <w:color w:val="auto"/>
        </w:rPr>
        <w:t>表9项目工程分析与源项</w:t>
      </w:r>
      <w:bookmarkEnd w:id="129"/>
    </w:p>
    <w:tbl>
      <w:tblPr>
        <w:tblStyle w:val="23"/>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25" w:hRule="atLeast"/>
        </w:trPr>
        <w:tc>
          <w:tcPr>
            <w:tcW w:w="8296" w:type="dxa"/>
            <w:noWrap w:val="0"/>
            <w:vAlign w:val="top"/>
          </w:tcPr>
          <w:p>
            <w:pPr>
              <w:pStyle w:val="45"/>
              <w:spacing w:before="156" w:after="156"/>
              <w:rPr>
                <w:color w:val="auto"/>
              </w:rPr>
            </w:pPr>
            <w:r>
              <w:rPr>
                <w:rFonts w:hint="eastAsia"/>
                <w:color w:val="auto"/>
              </w:rPr>
              <w:t>9.1</w:t>
            </w:r>
            <w:r>
              <w:rPr>
                <w:color w:val="auto"/>
              </w:rPr>
              <w:t>施工期</w:t>
            </w:r>
            <w:r>
              <w:rPr>
                <w:rFonts w:hint="eastAsia"/>
                <w:color w:val="auto"/>
                <w:lang w:val="en-US" w:eastAsia="zh-CN"/>
              </w:rPr>
              <w:t>及调试期</w:t>
            </w:r>
            <w:r>
              <w:rPr>
                <w:color w:val="auto"/>
              </w:rPr>
              <w:t>污染工序及污染物产生情况</w:t>
            </w:r>
          </w:p>
          <w:p>
            <w:pPr>
              <w:pStyle w:val="47"/>
              <w:rPr>
                <w:rFonts w:hint="default" w:eastAsia="宋体"/>
                <w:b/>
                <w:bCs/>
                <w:color w:val="auto"/>
                <w:lang w:val="en-US" w:eastAsia="zh-CN"/>
              </w:rPr>
            </w:pPr>
            <w:r>
              <w:rPr>
                <w:rFonts w:hint="eastAsia"/>
                <w:b/>
                <w:bCs/>
                <w:color w:val="auto"/>
                <w:lang w:val="en-US" w:eastAsia="zh-CN"/>
              </w:rPr>
              <w:t>9.1.1施工期污染源</w:t>
            </w:r>
          </w:p>
          <w:p>
            <w:pPr>
              <w:pStyle w:val="47"/>
              <w:rPr>
                <w:color w:val="auto"/>
              </w:rPr>
            </w:pPr>
            <w:r>
              <w:rPr>
                <w:rFonts w:hint="eastAsia"/>
                <w:color w:val="auto"/>
              </w:rPr>
              <w:t xml:space="preserve">本项目探伤室在建设阶段不产生放射性废物、放射性废水和放射性气体，产生的环境影响主要是施工时产生的噪声、扬尘、废水、固体废物等环境影响。本项目工程量较小，施工人员少，施工期短，通过合理的施工时间安排和场地布置可有效降低本项目对周边环境产生的影响。随着施工期的结束，这些影响也随即结束。 </w:t>
            </w:r>
          </w:p>
          <w:p>
            <w:pPr>
              <w:pStyle w:val="47"/>
              <w:rPr>
                <w:color w:val="auto"/>
              </w:rPr>
            </w:pPr>
            <w:r>
              <w:rPr>
                <w:rFonts w:hint="eastAsia"/>
                <w:color w:val="auto"/>
              </w:rPr>
              <w:t>（1）环境空气</w:t>
            </w:r>
          </w:p>
          <w:p>
            <w:pPr>
              <w:pStyle w:val="47"/>
              <w:rPr>
                <w:color w:val="auto"/>
              </w:rPr>
            </w:pPr>
            <w:r>
              <w:rPr>
                <w:rFonts w:hint="eastAsia"/>
                <w:color w:val="auto"/>
              </w:rPr>
              <w:t xml:space="preserve">本项目的环境空气影响主要是施工扬尘，由土建施工以及建筑材料运输等活动产生。 </w:t>
            </w:r>
          </w:p>
          <w:p>
            <w:pPr>
              <w:pStyle w:val="47"/>
              <w:rPr>
                <w:color w:val="auto"/>
              </w:rPr>
            </w:pPr>
            <w:r>
              <w:rPr>
                <w:rFonts w:hint="eastAsia"/>
                <w:color w:val="auto"/>
              </w:rPr>
              <w:t>（</w:t>
            </w:r>
            <w:r>
              <w:rPr>
                <w:color w:val="auto"/>
              </w:rPr>
              <w:t>2</w:t>
            </w:r>
            <w:r>
              <w:rPr>
                <w:rFonts w:hint="eastAsia"/>
                <w:color w:val="auto"/>
              </w:rPr>
              <w:t xml:space="preserve">）噪声 </w:t>
            </w:r>
          </w:p>
          <w:p>
            <w:pPr>
              <w:pStyle w:val="47"/>
              <w:rPr>
                <w:color w:val="auto"/>
              </w:rPr>
            </w:pPr>
            <w:r>
              <w:rPr>
                <w:rFonts w:hint="eastAsia"/>
                <w:color w:val="auto"/>
              </w:rPr>
              <w:t xml:space="preserve">本项目产生噪声影响的主要是施工机械、运输、混凝土浇注及现场处理等。噪声值一般在 </w:t>
            </w:r>
            <w:r>
              <w:rPr>
                <w:color w:val="auto"/>
              </w:rPr>
              <w:t>65~80dB</w:t>
            </w:r>
            <w:r>
              <w:rPr>
                <w:rFonts w:hint="eastAsia"/>
                <w:color w:val="auto"/>
              </w:rPr>
              <w:t>（</w:t>
            </w:r>
            <w:r>
              <w:rPr>
                <w:color w:val="auto"/>
              </w:rPr>
              <w:t>A</w:t>
            </w:r>
            <w:r>
              <w:rPr>
                <w:rFonts w:hint="eastAsia"/>
                <w:color w:val="auto"/>
              </w:rPr>
              <w:t xml:space="preserve">）之间，施工场地的噪声对周围环境有一定的影响，但随着施工的结束而结束。 </w:t>
            </w:r>
          </w:p>
          <w:p>
            <w:pPr>
              <w:pStyle w:val="47"/>
              <w:rPr>
                <w:color w:val="auto"/>
              </w:rPr>
            </w:pPr>
            <w:r>
              <w:rPr>
                <w:rFonts w:hint="eastAsia"/>
                <w:color w:val="auto"/>
              </w:rPr>
              <w:t>（</w:t>
            </w:r>
            <w:r>
              <w:rPr>
                <w:color w:val="auto"/>
              </w:rPr>
              <w:t>3</w:t>
            </w:r>
            <w:r>
              <w:rPr>
                <w:rFonts w:hint="eastAsia"/>
                <w:color w:val="auto"/>
              </w:rPr>
              <w:t xml:space="preserve">）地表水 </w:t>
            </w:r>
          </w:p>
          <w:p>
            <w:pPr>
              <w:pStyle w:val="47"/>
              <w:rPr>
                <w:color w:val="auto"/>
              </w:rPr>
            </w:pPr>
            <w:r>
              <w:rPr>
                <w:rFonts w:hint="eastAsia"/>
                <w:color w:val="auto"/>
              </w:rPr>
              <w:t xml:space="preserve">施工期污水主要来自两个方面：一是施工废水，二是施工人员的生活污水。 </w:t>
            </w:r>
          </w:p>
          <w:p>
            <w:pPr>
              <w:pStyle w:val="47"/>
              <w:rPr>
                <w:color w:val="auto"/>
              </w:rPr>
            </w:pPr>
            <w:r>
              <w:rPr>
                <w:rFonts w:hint="eastAsia"/>
                <w:color w:val="auto"/>
              </w:rPr>
              <w:t>（</w:t>
            </w:r>
            <w:r>
              <w:rPr>
                <w:color w:val="auto"/>
              </w:rPr>
              <w:t>4</w:t>
            </w:r>
            <w:r>
              <w:rPr>
                <w:rFonts w:hint="eastAsia"/>
                <w:color w:val="auto"/>
              </w:rPr>
              <w:t xml:space="preserve">）固体废弃物 </w:t>
            </w:r>
          </w:p>
          <w:p>
            <w:pPr>
              <w:pStyle w:val="47"/>
              <w:rPr>
                <w:rFonts w:hint="eastAsia"/>
                <w:color w:val="auto"/>
              </w:rPr>
            </w:pPr>
            <w:r>
              <w:rPr>
                <w:rFonts w:hint="eastAsia"/>
                <w:color w:val="auto"/>
              </w:rPr>
              <w:t>本项目土建工程量较小，产生的建筑垃圾、土石方很少。</w:t>
            </w:r>
          </w:p>
          <w:p>
            <w:pPr>
              <w:pStyle w:val="47"/>
              <w:rPr>
                <w:rFonts w:hint="default" w:eastAsia="宋体"/>
                <w:b/>
                <w:bCs/>
                <w:color w:val="auto"/>
                <w:lang w:val="en-US" w:eastAsia="zh-CN"/>
              </w:rPr>
            </w:pPr>
            <w:r>
              <w:rPr>
                <w:rFonts w:hint="eastAsia"/>
                <w:b/>
                <w:bCs/>
                <w:color w:val="auto"/>
                <w:lang w:val="en-US" w:eastAsia="zh-CN"/>
              </w:rPr>
              <w:t>9.1.1调试期污染源</w:t>
            </w:r>
          </w:p>
          <w:p>
            <w:pPr>
              <w:pStyle w:val="47"/>
              <w:rPr>
                <w:rFonts w:hint="default" w:ascii="Times New Roman" w:hAnsi="Times New Roman" w:eastAsia="宋体" w:cs="Times New Roman"/>
                <w:color w:val="auto"/>
                <w:lang w:val="en-US" w:eastAsia="zh-CN"/>
              </w:rPr>
            </w:pPr>
            <w:r>
              <w:rPr>
                <w:rFonts w:hint="default" w:ascii="Times New Roman" w:hAnsi="Times New Roman" w:cs="Times New Roman"/>
                <w:color w:val="auto"/>
              </w:rPr>
              <w:t>项目建设完毕正式投入运营前需进行设备调试，本项目X射线探伤机在设备调试过程中主要的污染物是X射线贯穿辐射。</w:t>
            </w:r>
            <w:r>
              <w:rPr>
                <w:rFonts w:hint="eastAsia" w:cs="Times New Roman"/>
                <w:color w:val="auto"/>
                <w:lang w:val="en-US" w:eastAsia="zh-CN"/>
              </w:rPr>
              <w:t>其污染物产生和周边环境及人员的影响与营运期相同，</w:t>
            </w:r>
            <w:r>
              <w:rPr>
                <w:rFonts w:hint="default" w:ascii="Times New Roman" w:hAnsi="Times New Roman" w:cs="Times New Roman"/>
                <w:color w:val="auto"/>
              </w:rPr>
              <w:t>在设备安装调试前，各项防护措施按要求落实到位</w:t>
            </w:r>
            <w:r>
              <w:rPr>
                <w:rFonts w:hint="eastAsia" w:cs="Times New Roman"/>
                <w:color w:val="auto"/>
                <w:lang w:eastAsia="zh-CN"/>
              </w:rPr>
              <w:t>，</w:t>
            </w:r>
            <w:r>
              <w:rPr>
                <w:rFonts w:hint="eastAsia" w:cs="Times New Roman"/>
                <w:color w:val="auto"/>
                <w:lang w:val="en-US" w:eastAsia="zh-CN"/>
              </w:rPr>
              <w:t>调试工作由设备厂商负责。</w:t>
            </w:r>
          </w:p>
          <w:p>
            <w:pPr>
              <w:pStyle w:val="45"/>
              <w:spacing w:before="156" w:after="156"/>
              <w:rPr>
                <w:color w:val="auto"/>
              </w:rPr>
            </w:pPr>
            <w:r>
              <w:rPr>
                <w:rFonts w:hint="eastAsia"/>
                <w:color w:val="auto"/>
              </w:rPr>
              <w:t>9.2</w:t>
            </w:r>
            <w:r>
              <w:rPr>
                <w:color w:val="auto"/>
              </w:rPr>
              <w:t>射线装置营运期污染工序及污染物产生情况</w:t>
            </w:r>
          </w:p>
          <w:p>
            <w:pPr>
              <w:pStyle w:val="42"/>
              <w:rPr>
                <w:color w:val="auto"/>
              </w:rPr>
            </w:pPr>
            <w:r>
              <w:rPr>
                <w:rFonts w:hint="eastAsia"/>
                <w:color w:val="auto"/>
              </w:rPr>
              <w:t>9.2.1</w:t>
            </w:r>
            <w:r>
              <w:rPr>
                <w:color w:val="auto"/>
              </w:rPr>
              <w:t>射线产生原理</w:t>
            </w:r>
          </w:p>
          <w:p>
            <w:pPr>
              <w:pStyle w:val="47"/>
              <w:rPr>
                <w:color w:val="auto"/>
              </w:rPr>
            </w:pPr>
            <w:r>
              <w:rPr>
                <w:color w:val="auto"/>
              </w:rPr>
              <w:t>本项目使用的X射线</w:t>
            </w:r>
            <w:r>
              <w:rPr>
                <w:rFonts w:hint="eastAsia"/>
                <w:color w:val="auto"/>
              </w:rPr>
              <w:t>机检测</w:t>
            </w:r>
            <w:r>
              <w:rPr>
                <w:color w:val="auto"/>
              </w:rPr>
              <w:t>系统是固定式工频恒压X射线机设备，由X射线管、高压电缆、高压发生器、控制器、油冷却器、升降架车等组成。X射线管产生的X射线对待测工件进行照射，当零部件存在裂纹、气孔、未熔合、夹渣等问题，X射线衰减的情况就会发生变化，通过胶片成像供检测人员观察判断</w:t>
            </w:r>
            <w:r>
              <w:rPr>
                <w:rFonts w:hint="eastAsia"/>
                <w:color w:val="auto"/>
              </w:rPr>
              <w:t>。X射线管由安装在真空玻璃壳中的阴极和阳极组成。阴极通常是装在聚焦杯中的钨灯丝，阳极靶则根据应用的需求，由不同的材料制成各种形状，一般用高原子序数的难熔金属（如钨、铂、钽等）制成。当灯丝通电加热时，电子就“蒸发”出来，而聚焦杯使这些电子聚集成束，X射线管两级间的高压使电子束向阳极靶射击。高速电子轰击靶体产生X射线。整个探伤过程中，只需人工上料与下料，其他依靠自动化完成。</w:t>
            </w:r>
          </w:p>
          <w:p>
            <w:pPr>
              <w:pStyle w:val="47"/>
              <w:jc w:val="center"/>
              <w:rPr>
                <w:color w:val="auto"/>
              </w:rPr>
            </w:pPr>
            <w:r>
              <w:rPr>
                <w:color w:val="auto"/>
              </w:rPr>
              <w:drawing>
                <wp:inline distT="0" distB="0" distL="114300" distR="114300">
                  <wp:extent cx="3810635" cy="2011045"/>
                  <wp:effectExtent l="0" t="0" r="18415" b="8255"/>
                  <wp:docPr id="23"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6.jpeg"/>
                          <pic:cNvPicPr>
                            <a:picLocks noChangeAspect="1"/>
                          </pic:cNvPicPr>
                        </pic:nvPicPr>
                        <pic:blipFill>
                          <a:blip r:embed="rId9"/>
                          <a:stretch>
                            <a:fillRect/>
                          </a:stretch>
                        </pic:blipFill>
                        <pic:spPr>
                          <a:xfrm>
                            <a:off x="0" y="0"/>
                            <a:ext cx="3810635" cy="2011045"/>
                          </a:xfrm>
                          <a:prstGeom prst="rect">
                            <a:avLst/>
                          </a:prstGeom>
                          <a:noFill/>
                          <a:ln>
                            <a:noFill/>
                          </a:ln>
                        </pic:spPr>
                      </pic:pic>
                    </a:graphicData>
                  </a:graphic>
                </wp:inline>
              </w:drawing>
            </w:r>
          </w:p>
          <w:p>
            <w:pPr>
              <w:pStyle w:val="47"/>
              <w:ind w:firstLine="422"/>
              <w:jc w:val="center"/>
              <w:rPr>
                <w:b/>
                <w:color w:val="auto"/>
                <w:sz w:val="21"/>
              </w:rPr>
            </w:pPr>
            <w:r>
              <w:rPr>
                <w:b/>
                <w:color w:val="auto"/>
                <w:sz w:val="21"/>
              </w:rPr>
              <w:t>图</w:t>
            </w:r>
            <w:r>
              <w:rPr>
                <w:rFonts w:eastAsia="Times New Roman"/>
                <w:b/>
                <w:color w:val="auto"/>
                <w:sz w:val="21"/>
              </w:rPr>
              <w:t>9-1X</w:t>
            </w:r>
            <w:r>
              <w:rPr>
                <w:b/>
                <w:color w:val="auto"/>
                <w:sz w:val="21"/>
              </w:rPr>
              <w:t>射线管的原理示意图</w:t>
            </w:r>
          </w:p>
          <w:p>
            <w:pPr>
              <w:pStyle w:val="47"/>
              <w:ind w:firstLine="422"/>
              <w:rPr>
                <w:rFonts w:hint="eastAsia"/>
                <w:b/>
                <w:color w:val="auto"/>
                <w:sz w:val="24"/>
                <w:szCs w:val="32"/>
              </w:rPr>
            </w:pPr>
            <w:r>
              <w:rPr>
                <w:rFonts w:hint="eastAsia"/>
                <w:b/>
                <w:color w:val="auto"/>
                <w:sz w:val="24"/>
                <w:szCs w:val="32"/>
              </w:rPr>
              <w:t>9.2.2探伤机工作原理:</w:t>
            </w:r>
          </w:p>
          <w:p>
            <w:pPr>
              <w:pStyle w:val="47"/>
              <w:rPr>
                <w:color w:val="auto"/>
              </w:rPr>
            </w:pPr>
            <w:r>
              <w:rPr>
                <w:color w:val="auto"/>
              </w:rPr>
              <w:t>X射线实时成像检测装置基本原理是依据辐射在被检测物体中的减弱和吸收特性，同物质对辐射的吸收本领与物质性质有关。所以，利用X射线管发出的具有一定能量和强度的X射线，在被检测物体中的衰减规律及分布情况，就有可能由探测器阵列获得物体内部的详细信息，最后用计算机信息处理和图像重建技术，在显示器上以实时图像形式显示出来。这样，通过简单的图像分析算法便可自动且可靠地检验被检测物体内部结构、组成、材质、缺损状况及焊点缺陷，达到无损检测的目的</w:t>
            </w:r>
            <w:r>
              <w:rPr>
                <w:rFonts w:hint="eastAsia"/>
                <w:color w:val="auto"/>
              </w:rPr>
              <w:t>。</w:t>
            </w:r>
          </w:p>
          <w:p>
            <w:pPr>
              <w:pStyle w:val="42"/>
              <w:rPr>
                <w:color w:val="auto"/>
              </w:rPr>
            </w:pPr>
            <w:r>
              <w:rPr>
                <w:rFonts w:hint="eastAsia"/>
                <w:color w:val="auto"/>
              </w:rPr>
              <w:t>9.2.3工艺流程及产污环节</w:t>
            </w:r>
          </w:p>
          <w:p>
            <w:pPr>
              <w:pStyle w:val="47"/>
              <w:numPr>
                <w:ilvl w:val="0"/>
                <w:numId w:val="4"/>
              </w:numPr>
              <w:rPr>
                <w:rFonts w:hint="eastAsia"/>
                <w:color w:val="auto"/>
                <w:highlight w:val="none"/>
                <w:u w:val="none"/>
              </w:rPr>
            </w:pPr>
            <w:r>
              <w:rPr>
                <w:rFonts w:hint="eastAsia"/>
                <w:color w:val="auto"/>
                <w:highlight w:val="none"/>
                <w:u w:val="none"/>
              </w:rPr>
              <w:t>工作人员在进行X射线探伤前，</w:t>
            </w:r>
            <w:r>
              <w:rPr>
                <w:rFonts w:hint="eastAsia"/>
                <w:color w:val="auto"/>
                <w:highlight w:val="none"/>
                <w:u w:val="none"/>
                <w:lang w:val="en-US" w:eastAsia="zh-CN"/>
              </w:rPr>
              <w:t>通过机械运输设备将</w:t>
            </w:r>
            <w:r>
              <w:rPr>
                <w:rFonts w:hint="eastAsia"/>
                <w:color w:val="auto"/>
                <w:highlight w:val="none"/>
                <w:u w:val="none"/>
              </w:rPr>
              <w:t>待检测的</w:t>
            </w:r>
            <w:r>
              <w:rPr>
                <w:rFonts w:hint="eastAsia"/>
                <w:color w:val="auto"/>
                <w:highlight w:val="none"/>
                <w:u w:val="none"/>
                <w:lang w:val="en-US" w:eastAsia="zh-CN"/>
              </w:rPr>
              <w:t>工件运送进</w:t>
            </w:r>
            <w:r>
              <w:rPr>
                <w:rFonts w:hint="eastAsia"/>
                <w:color w:val="auto"/>
                <w:highlight w:val="none"/>
                <w:u w:val="none"/>
              </w:rPr>
              <w:t>探伤室内</w:t>
            </w:r>
            <w:r>
              <w:rPr>
                <w:rFonts w:hint="eastAsia"/>
                <w:color w:val="auto"/>
                <w:highlight w:val="none"/>
                <w:u w:val="none"/>
                <w:lang w:val="en-US" w:eastAsia="zh-CN"/>
              </w:rPr>
              <w:t>并摆放至工件控制轨道上</w:t>
            </w:r>
            <w:r>
              <w:rPr>
                <w:rFonts w:hint="eastAsia"/>
                <w:color w:val="auto"/>
                <w:highlight w:val="none"/>
                <w:u w:val="none"/>
              </w:rPr>
              <w:t>。</w:t>
            </w:r>
          </w:p>
          <w:p>
            <w:pPr>
              <w:pStyle w:val="47"/>
              <w:numPr>
                <w:ilvl w:val="0"/>
                <w:numId w:val="4"/>
              </w:numPr>
              <w:ind w:left="0" w:leftChars="0" w:firstLine="480" w:firstLineChars="200"/>
              <w:rPr>
                <w:rFonts w:hint="eastAsia"/>
                <w:color w:val="auto"/>
                <w:highlight w:val="none"/>
                <w:u w:val="none"/>
              </w:rPr>
            </w:pPr>
            <w:r>
              <w:rPr>
                <w:rFonts w:hint="eastAsia"/>
                <w:color w:val="auto"/>
                <w:highlight w:val="none"/>
                <w:u w:val="none"/>
              </w:rPr>
              <w:t>待检测工件完全进入探伤室内且工作人员确认工件已正确位于检测初始位置后，工作人员撤出探伤室，关好防护门。</w:t>
            </w:r>
          </w:p>
          <w:p>
            <w:pPr>
              <w:pStyle w:val="47"/>
              <w:numPr>
                <w:ilvl w:val="0"/>
                <w:numId w:val="4"/>
              </w:numPr>
              <w:ind w:left="0" w:leftChars="0" w:firstLine="480" w:firstLineChars="200"/>
              <w:rPr>
                <w:rFonts w:hint="eastAsia"/>
                <w:color w:val="auto"/>
                <w:highlight w:val="none"/>
                <w:u w:val="none"/>
              </w:rPr>
            </w:pPr>
            <w:r>
              <w:rPr>
                <w:rFonts w:hint="eastAsia"/>
                <w:color w:val="auto"/>
                <w:highlight w:val="none"/>
                <w:u w:val="none"/>
                <w:lang w:val="en-US" w:eastAsia="zh-CN"/>
              </w:rPr>
              <w:t>对于人孔和法兰采用胶片拍片方法，由工作人员提前布置好胶片，</w:t>
            </w:r>
            <w:r>
              <w:rPr>
                <w:rFonts w:hint="eastAsia"/>
                <w:color w:val="auto"/>
                <w:highlight w:val="none"/>
                <w:u w:val="none"/>
              </w:rPr>
              <w:t>确认工件已正确位于</w:t>
            </w:r>
            <w:r>
              <w:rPr>
                <w:rFonts w:hint="eastAsia"/>
                <w:color w:val="auto"/>
                <w:highlight w:val="none"/>
                <w:u w:val="none"/>
                <w:lang w:val="en-US" w:eastAsia="zh-CN"/>
              </w:rPr>
              <w:t>拍摄</w:t>
            </w:r>
            <w:r>
              <w:rPr>
                <w:rFonts w:hint="eastAsia"/>
                <w:color w:val="auto"/>
                <w:highlight w:val="none"/>
                <w:u w:val="none"/>
              </w:rPr>
              <w:t>位置后，工作人员撤出探伤室，关好防护门。</w:t>
            </w:r>
          </w:p>
          <w:p>
            <w:pPr>
              <w:pStyle w:val="47"/>
              <w:numPr>
                <w:ilvl w:val="0"/>
                <w:numId w:val="4"/>
              </w:numPr>
              <w:ind w:left="0" w:leftChars="0" w:firstLine="480" w:firstLineChars="200"/>
              <w:rPr>
                <w:rFonts w:hint="eastAsia"/>
                <w:color w:val="auto"/>
                <w:highlight w:val="none"/>
                <w:u w:val="none"/>
                <w:lang w:val="en-US" w:eastAsia="zh-CN"/>
              </w:rPr>
            </w:pPr>
            <w:r>
              <w:rPr>
                <w:rFonts w:hint="eastAsia"/>
                <w:color w:val="auto"/>
                <w:highlight w:val="none"/>
                <w:u w:val="none"/>
                <w:lang w:val="en-US" w:eastAsia="zh-CN"/>
              </w:rPr>
              <w:t>射线管通过平移机支撑，位于待测工件南侧，平板探测器（接收成像器）通过平移机支撑，平移机可满直焊缝采用单壁单影方式透照，下端环焊缝采用单壁单影方式透照，剩余的那上端环焊缝采用双壁单影方式等的照射需求。探伤机出束方向朝北，根据平移机的移动范围，本项目射线管移动的位置距离探伤室南侧墙体最近为1m，距离东侧墙体最近为3m，距离西侧墙体最近为1m，距离西侧墙体最近为4m，距离地面高度最低0.5m，最高4.5m。</w:t>
            </w:r>
          </w:p>
          <w:p>
            <w:pPr>
              <w:pStyle w:val="47"/>
              <w:numPr>
                <w:ilvl w:val="0"/>
                <w:numId w:val="4"/>
              </w:numPr>
              <w:ind w:left="0" w:leftChars="0" w:firstLine="480" w:firstLineChars="200"/>
              <w:rPr>
                <w:rFonts w:hint="eastAsia"/>
                <w:color w:val="auto"/>
                <w:highlight w:val="none"/>
                <w:u w:val="none"/>
              </w:rPr>
            </w:pPr>
            <w:r>
              <w:rPr>
                <w:rFonts w:hint="eastAsia"/>
                <w:color w:val="auto"/>
                <w:highlight w:val="none"/>
                <w:u w:val="none"/>
              </w:rPr>
              <w:t>由控制台上的操作人员确定</w:t>
            </w:r>
            <w:r>
              <w:rPr>
                <w:rFonts w:hint="eastAsia"/>
                <w:color w:val="auto"/>
                <w:highlight w:val="none"/>
                <w:u w:val="none"/>
                <w:lang w:val="en-US" w:eastAsia="zh-CN"/>
              </w:rPr>
              <w:t>照射</w:t>
            </w:r>
            <w:r>
              <w:rPr>
                <w:rFonts w:hint="eastAsia"/>
                <w:color w:val="auto"/>
                <w:highlight w:val="none"/>
                <w:u w:val="none"/>
              </w:rPr>
              <w:t>条件、照射时间，</w:t>
            </w:r>
            <w:r>
              <w:rPr>
                <w:rFonts w:hint="eastAsia"/>
                <w:color w:val="auto"/>
                <w:highlight w:val="none"/>
                <w:u w:val="none"/>
                <w:lang w:val="en-US" w:eastAsia="zh-CN"/>
              </w:rPr>
              <w:t>启动探伤机进行照射。照射时工件可通过导轨进行旋转，射线管和平板探测器通过设定的位置进行移动并照射成像。单壁单影成像时排版成像器位于待测工件（多为圆柱形）内侧，通过提前设定好的移动和旋转速度，保持焊缝位置始终位于主射方向上。</w:t>
            </w:r>
          </w:p>
          <w:p>
            <w:pPr>
              <w:pStyle w:val="47"/>
              <w:numPr>
                <w:ilvl w:val="0"/>
                <w:numId w:val="4"/>
              </w:numPr>
              <w:ind w:left="0" w:leftChars="0" w:firstLine="480" w:firstLineChars="200"/>
              <w:rPr>
                <w:color w:val="auto"/>
                <w:highlight w:val="none"/>
                <w:u w:val="none"/>
              </w:rPr>
            </w:pPr>
            <w:r>
              <w:rPr>
                <w:rFonts w:hint="eastAsia"/>
                <w:color w:val="auto"/>
                <w:highlight w:val="none"/>
                <w:u w:val="none"/>
                <w:lang w:val="en-US" w:eastAsia="zh-CN"/>
              </w:rPr>
              <w:t>照射完成后，</w:t>
            </w:r>
            <w:r>
              <w:rPr>
                <w:rFonts w:hint="eastAsia"/>
                <w:color w:val="auto"/>
                <w:highlight w:val="none"/>
                <w:u w:val="none"/>
              </w:rPr>
              <w:t>停止X射线探伤机出束，工件由导轨</w:t>
            </w:r>
            <w:r>
              <w:rPr>
                <w:rFonts w:hint="eastAsia"/>
                <w:color w:val="auto"/>
                <w:highlight w:val="none"/>
                <w:u w:val="none"/>
                <w:lang w:val="en-US" w:eastAsia="zh-CN"/>
              </w:rPr>
              <w:t>和机械运输设备运送出探伤室</w:t>
            </w:r>
            <w:r>
              <w:rPr>
                <w:rFonts w:hint="eastAsia"/>
                <w:color w:val="auto"/>
                <w:highlight w:val="none"/>
                <w:u w:val="none"/>
              </w:rPr>
              <w:t>。</w:t>
            </w:r>
          </w:p>
          <w:p>
            <w:pPr>
              <w:pStyle w:val="49"/>
              <w:rPr>
                <w:rFonts w:hint="eastAsia"/>
                <w:color w:val="auto"/>
              </w:rPr>
            </w:pPr>
            <w:r>
              <w:rPr>
                <w:rFonts w:hint="eastAsia"/>
                <w:color w:val="auto"/>
              </w:rPr>
              <w:object>
                <v:shape id="_x0000_i1025" o:spt="75" type="#_x0000_t75" style="height:61.3pt;width:403.65pt;" o:ole="t" filled="f" o:preferrelative="t" stroked="f" coordsize="21600,21600">
                  <v:path/>
                  <v:fill on="f" focussize="0,0"/>
                  <v:stroke on="f"/>
                  <v:imagedata r:id="rId11" o:title=""/>
                  <o:lock v:ext="edit" aspectratio="f"/>
                  <w10:wrap type="none"/>
                  <w10:anchorlock/>
                </v:shape>
                <o:OLEObject Type="Embed" ProgID="Visio.Drawing.15" ShapeID="_x0000_i1025" DrawAspect="Content" ObjectID="_1468075725" r:id="rId10">
                  <o:LockedField>false</o:LockedField>
                </o:OLEObject>
              </w:object>
            </w:r>
          </w:p>
          <w:p>
            <w:pPr>
              <w:pStyle w:val="49"/>
              <w:rPr>
                <w:rFonts w:hint="eastAsia"/>
                <w:color w:val="auto"/>
              </w:rPr>
            </w:pPr>
            <w:r>
              <w:rPr>
                <w:rFonts w:hint="eastAsia"/>
                <w:color w:val="auto"/>
              </w:rPr>
              <w:t>图9-2探伤工艺流程简图</w:t>
            </w:r>
          </w:p>
          <w:p>
            <w:pPr>
              <w:pStyle w:val="42"/>
              <w:rPr>
                <w:color w:val="auto"/>
              </w:rPr>
            </w:pPr>
            <w:r>
              <w:rPr>
                <w:rFonts w:hint="eastAsia"/>
                <w:color w:val="auto"/>
              </w:rPr>
              <w:t>9.2.3</w:t>
            </w:r>
            <w:r>
              <w:rPr>
                <w:color w:val="auto"/>
              </w:rPr>
              <w:t>主要放射性污染物和污染途径</w:t>
            </w:r>
          </w:p>
          <w:p>
            <w:pPr>
              <w:pStyle w:val="47"/>
              <w:rPr>
                <w:rFonts w:hint="default" w:ascii="Times New Roman" w:hAnsi="Times New Roman" w:cs="Times New Roman"/>
                <w:color w:val="auto"/>
              </w:rPr>
            </w:pPr>
            <w:r>
              <w:rPr>
                <w:rFonts w:hint="default" w:ascii="Times New Roman" w:hAnsi="Times New Roman" w:cs="Times New Roman"/>
                <w:color w:val="auto"/>
              </w:rPr>
              <w:t>本项目辐射工作人员定员已经考虑在现有工程的的劳动定员中，因此辐射工作人员产生的生活污水、生活垃圾等均依托现有工程相关设施处理，本次评价不再考虑。</w:t>
            </w:r>
          </w:p>
          <w:p>
            <w:pPr>
              <w:pStyle w:val="47"/>
              <w:rPr>
                <w:rFonts w:hint="default" w:ascii="Times New Roman" w:hAnsi="Times New Roman" w:cs="Times New Roman"/>
                <w:color w:val="auto"/>
              </w:rPr>
            </w:pPr>
            <w:r>
              <w:rPr>
                <w:rFonts w:hint="default" w:ascii="Times New Roman" w:hAnsi="Times New Roman" w:cs="Times New Roman"/>
                <w:color w:val="auto"/>
              </w:rPr>
              <w:t>根据X射线探伤的工作原理，本项目的主要污染物分析如下：</w:t>
            </w:r>
          </w:p>
          <w:p>
            <w:pPr>
              <w:pStyle w:val="47"/>
              <w:rPr>
                <w:rFonts w:hint="default" w:ascii="Times New Roman" w:hAnsi="Times New Roman" w:cs="Times New Roman"/>
                <w:color w:val="auto"/>
              </w:rPr>
            </w:pPr>
            <w:r>
              <w:rPr>
                <w:rFonts w:hint="default" w:ascii="Times New Roman" w:hAnsi="Times New Roman" w:cs="Times New Roman"/>
                <w:color w:val="auto"/>
              </w:rPr>
              <w:t>①X射线是加速电子轰击靶时产生的韧致辐射。由X射线装置的工作原理可知，X射线是随机器的开、关产生和消失。本项目使用的X射线探伤机只有在开机并处于出线状态时（曝光状态）才会发出X射线。X射线具有较强的穿透性，X射线探伤机在对工件进行照射的工况下，X射线通过主射、漏射、散射对作业场所及周围环境产生辐射影响。</w:t>
            </w:r>
          </w:p>
          <w:p>
            <w:pPr>
              <w:pStyle w:val="47"/>
              <w:rPr>
                <w:rFonts w:hint="default" w:ascii="Times New Roman" w:hAnsi="Times New Roman" w:cs="Times New Roman"/>
                <w:color w:val="auto"/>
              </w:rPr>
            </w:pPr>
            <w:r>
              <w:rPr>
                <w:rFonts w:hint="default" w:ascii="Times New Roman" w:hAnsi="Times New Roman" w:cs="Times New Roman"/>
                <w:color w:val="auto"/>
              </w:rPr>
              <w:t>②X射线与空气接触，使空气电离产生少量臭氧（O</w:t>
            </w:r>
            <w:r>
              <w:rPr>
                <w:rFonts w:hint="default" w:ascii="Times New Roman" w:hAnsi="Times New Roman" w:cs="Times New Roman"/>
                <w:color w:val="auto"/>
                <w:szCs w:val="16"/>
                <w:vertAlign w:val="subscript"/>
              </w:rPr>
              <w:t>3</w:t>
            </w:r>
            <w:r>
              <w:rPr>
                <w:rFonts w:hint="default" w:ascii="Times New Roman" w:hAnsi="Times New Roman" w:cs="Times New Roman"/>
                <w:color w:val="auto"/>
              </w:rPr>
              <w:t>）和氮氧化物（NO</w:t>
            </w:r>
            <w:r>
              <w:rPr>
                <w:rFonts w:hint="default" w:ascii="Times New Roman" w:hAnsi="Times New Roman" w:cs="Times New Roman"/>
                <w:color w:val="auto"/>
                <w:szCs w:val="16"/>
                <w:vertAlign w:val="subscript"/>
              </w:rPr>
              <w:t>x</w:t>
            </w:r>
            <w:r>
              <w:rPr>
                <w:rFonts w:hint="default" w:ascii="Times New Roman" w:hAnsi="Times New Roman" w:cs="Times New Roman"/>
                <w:color w:val="auto"/>
              </w:rPr>
              <w:t>）。</w:t>
            </w:r>
          </w:p>
          <w:p>
            <w:pPr>
              <w:pStyle w:val="47"/>
              <w:rPr>
                <w:color w:val="000000" w:themeColor="text1"/>
                <w14:textFill>
                  <w14:solidFill>
                    <w14:schemeClr w14:val="tx1"/>
                  </w14:solidFill>
                </w14:textFill>
              </w:rPr>
            </w:pPr>
            <w:r>
              <w:rPr>
                <w:rFonts w:hint="eastAsia"/>
                <w:color w:val="000000" w:themeColor="text1"/>
                <w14:textFill>
                  <w14:solidFill>
                    <w14:schemeClr w14:val="tx1"/>
                  </w14:solidFill>
                </w14:textFill>
              </w:rPr>
              <w:t>③本项目废水主要产生于洗片过程。探伤室内的探伤工作完成后，在暗室内洗片。洗片过程产生的废水包括对感光片进行显影、定影产生的废显影液、定影液。根据建设单位提供资料可知，定影液、显影液使用量约</w:t>
            </w:r>
            <w:r>
              <w:rPr>
                <w:rFonts w:hint="eastAsia"/>
                <w:color w:val="000000" w:themeColor="text1"/>
                <w:lang w:val="en-US" w:eastAsia="zh-CN"/>
                <w14:textFill>
                  <w14:solidFill>
                    <w14:schemeClr w14:val="tx1"/>
                  </w14:solidFill>
                </w14:textFill>
              </w:rPr>
              <w:t>0.2</w:t>
            </w:r>
            <w:r>
              <w:rPr>
                <w:rFonts w:hint="eastAsia"/>
                <w:color w:val="000000" w:themeColor="text1"/>
                <w14:textFill>
                  <w14:solidFill>
                    <w14:schemeClr w14:val="tx1"/>
                  </w14:solidFill>
                </w14:textFill>
              </w:rPr>
              <w:t>t/a，公司应建立危废处理台账并委托有危险废物处理资质的单位进行处理。其次冲洗完成的胶片需用清水清洗，不能再利用的清洗水废水应集中收贮在专用特定容器中，清洗废水产生量约为</w:t>
            </w:r>
            <w:r>
              <w:rPr>
                <w:rFonts w:hint="eastAsia"/>
                <w:color w:val="000000" w:themeColor="text1"/>
                <w:lang w:val="en-US" w:eastAsia="zh-CN"/>
                <w14:textFill>
                  <w14:solidFill>
                    <w14:schemeClr w14:val="tx1"/>
                  </w14:solidFill>
                </w14:textFill>
              </w:rPr>
              <w:t>0.2</w:t>
            </w:r>
            <w:r>
              <w:rPr>
                <w:rFonts w:hint="eastAsia"/>
                <w:color w:val="000000" w:themeColor="text1"/>
                <w14:textFill>
                  <w14:solidFill>
                    <w14:schemeClr w14:val="tx1"/>
                  </w14:solidFill>
                </w14:textFill>
              </w:rPr>
              <w:t>t/a。</w:t>
            </w:r>
          </w:p>
          <w:p>
            <w:pPr>
              <w:pStyle w:val="47"/>
              <w:rPr>
                <w:color w:val="000000" w:themeColor="text1"/>
                <w14:textFill>
                  <w14:solidFill>
                    <w14:schemeClr w14:val="tx1"/>
                  </w14:solidFill>
                </w14:textFill>
              </w:rPr>
            </w:pPr>
            <w:r>
              <w:rPr>
                <w:rFonts w:hint="eastAsia"/>
                <w:color w:val="000000" w:themeColor="text1"/>
                <w14:textFill>
                  <w14:solidFill>
                    <w14:schemeClr w14:val="tx1"/>
                  </w14:solidFill>
                </w14:textFill>
              </w:rPr>
              <w:t>⑤曝光时产生的废片和存档到期的胶片成为危险废物，根据建设单位提供资料，本项目年使用X光片约</w:t>
            </w:r>
            <w:r>
              <w:rPr>
                <w:rFonts w:hint="eastAsia"/>
                <w:color w:val="000000" w:themeColor="text1"/>
                <w:lang w:val="en-US" w:eastAsia="zh-CN"/>
                <w14:textFill>
                  <w14:solidFill>
                    <w14:schemeClr w14:val="tx1"/>
                  </w14:solidFill>
                </w14:textFill>
              </w:rPr>
              <w:t>2500</w:t>
            </w:r>
            <w:r>
              <w:rPr>
                <w:rFonts w:hint="eastAsia"/>
                <w:color w:val="000000" w:themeColor="text1"/>
                <w14:textFill>
                  <w14:solidFill>
                    <w14:schemeClr w14:val="tx1"/>
                  </w14:solidFill>
                </w14:textFill>
              </w:rPr>
              <w:t>张（</w:t>
            </w:r>
            <w:r>
              <w:rPr>
                <w:rFonts w:hint="eastAsia"/>
                <w:color w:val="000000" w:themeColor="text1"/>
                <w:lang w:val="en-US" w:eastAsia="zh-CN"/>
                <w14:textFill>
                  <w14:solidFill>
                    <w14:schemeClr w14:val="tx1"/>
                  </w14:solidFill>
                </w14:textFill>
              </w:rPr>
              <w:t>约0.25t</w:t>
            </w: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年</w:t>
            </w:r>
            <w:r>
              <w:rPr>
                <w:rFonts w:hint="eastAsia"/>
                <w:color w:val="000000" w:themeColor="text1"/>
                <w14:textFill>
                  <w14:solidFill>
                    <w14:schemeClr w14:val="tx1"/>
                  </w14:solidFill>
                </w14:textFill>
              </w:rPr>
              <w:t>产生废片约20张（</w:t>
            </w:r>
            <w:r>
              <w:rPr>
                <w:rFonts w:hint="eastAsia"/>
                <w:color w:val="000000" w:themeColor="text1"/>
                <w:lang w:val="en-US" w:eastAsia="zh-CN"/>
                <w14:textFill>
                  <w14:solidFill>
                    <w14:schemeClr w14:val="tx1"/>
                  </w14:solidFill>
                </w14:textFill>
              </w:rPr>
              <w:t>2kg</w:t>
            </w:r>
            <w:r>
              <w:rPr>
                <w:rFonts w:hint="eastAsia"/>
                <w:color w:val="000000" w:themeColor="text1"/>
                <w14:textFill>
                  <w14:solidFill>
                    <w14:schemeClr w14:val="tx1"/>
                  </w14:solidFill>
                </w14:textFill>
              </w:rPr>
              <w:t>），公司胶片存档期不低于10年，存放到期的胶片以废胶片处理，废旧胶片收贮在特定收纳箱中，定期交由资质单位进行处理。</w:t>
            </w:r>
          </w:p>
          <w:p>
            <w:pPr>
              <w:pStyle w:val="47"/>
              <w:rPr>
                <w:color w:val="000000" w:themeColor="text1"/>
                <w14:textFill>
                  <w14:solidFill>
                    <w14:schemeClr w14:val="tx1"/>
                  </w14:solidFill>
                </w14:textFill>
              </w:rPr>
            </w:pPr>
            <w:r>
              <w:rPr>
                <w:rFonts w:hint="eastAsia"/>
                <w:color w:val="000000" w:themeColor="text1"/>
                <w14:textFill>
                  <w14:solidFill>
                    <w14:schemeClr w14:val="tx1"/>
                  </w14:solidFill>
                </w14:textFill>
              </w:rPr>
              <w:t>一般固体废物的处置：辐射工作人员产生的办公和生活垃圾实行分类收集，由环卫部门统一处置。</w:t>
            </w:r>
          </w:p>
          <w:p>
            <w:pPr>
              <w:pStyle w:val="47"/>
              <w:rPr>
                <w:color w:val="000000" w:themeColor="text1"/>
                <w14:textFill>
                  <w14:solidFill>
                    <w14:schemeClr w14:val="tx1"/>
                  </w14:solidFill>
                </w14:textFill>
              </w:rPr>
            </w:pPr>
            <w:r>
              <w:rPr>
                <w:rFonts w:hint="eastAsia"/>
                <w:color w:val="000000" w:themeColor="text1"/>
                <w14:textFill>
                  <w14:solidFill>
                    <w14:schemeClr w14:val="tx1"/>
                  </w14:solidFill>
                </w14:textFill>
              </w:rPr>
              <w:t>根据以上分析可知，本项目危废产生量及处理措施见下表9-1，产生的污染因子情况见表9-2所示。</w:t>
            </w:r>
          </w:p>
          <w:p>
            <w:pPr>
              <w:pStyle w:val="49"/>
              <w:rPr>
                <w:color w:val="000000" w:themeColor="text1"/>
                <w14:textFill>
                  <w14:solidFill>
                    <w14:schemeClr w14:val="tx1"/>
                  </w14:solidFill>
                </w14:textFill>
              </w:rPr>
            </w:pPr>
            <w:r>
              <w:rPr>
                <w:color w:val="000000" w:themeColor="text1"/>
                <w14:textFill>
                  <w14:solidFill>
                    <w14:schemeClr w14:val="tx1"/>
                  </w14:solidFill>
                </w14:textFill>
              </w:rPr>
              <w:t>表</w:t>
            </w:r>
            <w:r>
              <w:rPr>
                <w:rFonts w:eastAsia="Times New Roman"/>
                <w:color w:val="000000" w:themeColor="text1"/>
                <w14:textFill>
                  <w14:solidFill>
                    <w14:schemeClr w14:val="tx1"/>
                  </w14:solidFill>
                </w14:textFill>
              </w:rPr>
              <w:t>9-</w:t>
            </w:r>
            <w:r>
              <w:rPr>
                <w:rFonts w:hint="eastAsia"/>
                <w:color w:val="000000" w:themeColor="text1"/>
                <w14:textFill>
                  <w14:solidFill>
                    <w14:schemeClr w14:val="tx1"/>
                  </w14:solidFill>
                </w14:textFill>
              </w:rPr>
              <w:t>1本项目危废产生量及处理措施一览表</w:t>
            </w:r>
          </w:p>
          <w:tbl>
            <w:tblPr>
              <w:tblStyle w:val="2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3"/>
              <w:gridCol w:w="768"/>
              <w:gridCol w:w="1228"/>
              <w:gridCol w:w="1536"/>
              <w:gridCol w:w="746"/>
              <w:gridCol w:w="1507"/>
              <w:gridCol w:w="10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pPr>
                    <w:pStyle w:val="53"/>
                    <w:keepNext w:val="0"/>
                    <w:keepLines w:val="0"/>
                    <w:pageBreakBefore w:val="0"/>
                    <w:widowControl w:val="0"/>
                    <w:kinsoku/>
                    <w:wordWrap/>
                    <w:overflowPunct/>
                    <w:topLinePunct w:val="0"/>
                    <w:autoSpaceDE/>
                    <w:autoSpaceDN/>
                    <w:bidi w:val="0"/>
                    <w:adjustRightInd/>
                    <w:snapToGrid/>
                    <w:spacing w:line="240" w:lineRule="exact"/>
                    <w:textAlignment w:val="auto"/>
                    <w:rPr>
                      <w:b/>
                      <w:color w:val="000000" w:themeColor="text1"/>
                      <w:sz w:val="18"/>
                      <w14:textFill>
                        <w14:solidFill>
                          <w14:schemeClr w14:val="tx1"/>
                        </w14:solidFill>
                      </w14:textFill>
                    </w:rPr>
                  </w:pPr>
                  <w:r>
                    <w:rPr>
                      <w:b/>
                      <w:color w:val="000000" w:themeColor="text1"/>
                      <w:sz w:val="18"/>
                      <w14:textFill>
                        <w14:solidFill>
                          <w14:schemeClr w14:val="tx1"/>
                        </w14:solidFill>
                      </w14:textFill>
                    </w:rPr>
                    <w:t>名称</w:t>
                  </w:r>
                </w:p>
              </w:tc>
              <w:tc>
                <w:tcPr>
                  <w:tcW w:w="709" w:type="dxa"/>
                  <w:vAlign w:val="center"/>
                </w:tcPr>
                <w:p>
                  <w:pPr>
                    <w:pStyle w:val="53"/>
                    <w:keepNext w:val="0"/>
                    <w:keepLines w:val="0"/>
                    <w:pageBreakBefore w:val="0"/>
                    <w:widowControl w:val="0"/>
                    <w:kinsoku/>
                    <w:wordWrap/>
                    <w:overflowPunct/>
                    <w:topLinePunct w:val="0"/>
                    <w:autoSpaceDE/>
                    <w:autoSpaceDN/>
                    <w:bidi w:val="0"/>
                    <w:adjustRightInd/>
                    <w:snapToGrid/>
                    <w:spacing w:line="240" w:lineRule="exact"/>
                    <w:textAlignment w:val="auto"/>
                    <w:rPr>
                      <w:b/>
                      <w:color w:val="000000" w:themeColor="text1"/>
                      <w:sz w:val="18"/>
                      <w14:textFill>
                        <w14:solidFill>
                          <w14:schemeClr w14:val="tx1"/>
                        </w14:solidFill>
                      </w14:textFill>
                    </w:rPr>
                  </w:pPr>
                  <w:r>
                    <w:rPr>
                      <w:b/>
                      <w:color w:val="000000" w:themeColor="text1"/>
                      <w:sz w:val="18"/>
                      <w14:textFill>
                        <w14:solidFill>
                          <w14:schemeClr w14:val="tx1"/>
                        </w14:solidFill>
                      </w14:textFill>
                    </w:rPr>
                    <w:t>类别</w:t>
                  </w:r>
                </w:p>
              </w:tc>
              <w:tc>
                <w:tcPr>
                  <w:tcW w:w="1134" w:type="dxa"/>
                  <w:vAlign w:val="center"/>
                </w:tcPr>
                <w:p>
                  <w:pPr>
                    <w:pStyle w:val="53"/>
                    <w:keepNext w:val="0"/>
                    <w:keepLines w:val="0"/>
                    <w:pageBreakBefore w:val="0"/>
                    <w:widowControl w:val="0"/>
                    <w:kinsoku/>
                    <w:wordWrap/>
                    <w:overflowPunct/>
                    <w:topLinePunct w:val="0"/>
                    <w:autoSpaceDE/>
                    <w:autoSpaceDN/>
                    <w:bidi w:val="0"/>
                    <w:adjustRightInd/>
                    <w:snapToGrid/>
                    <w:spacing w:line="240" w:lineRule="exact"/>
                    <w:textAlignment w:val="auto"/>
                    <w:rPr>
                      <w:b/>
                      <w:color w:val="000000" w:themeColor="text1"/>
                      <w:sz w:val="18"/>
                      <w14:textFill>
                        <w14:solidFill>
                          <w14:schemeClr w14:val="tx1"/>
                        </w14:solidFill>
                      </w14:textFill>
                    </w:rPr>
                  </w:pPr>
                  <w:r>
                    <w:rPr>
                      <w:b/>
                      <w:color w:val="000000" w:themeColor="text1"/>
                      <w:sz w:val="18"/>
                      <w14:textFill>
                        <w14:solidFill>
                          <w14:schemeClr w14:val="tx1"/>
                        </w14:solidFill>
                      </w14:textFill>
                    </w:rPr>
                    <w:t>危废代码</w:t>
                  </w:r>
                </w:p>
              </w:tc>
              <w:tc>
                <w:tcPr>
                  <w:tcW w:w="1418" w:type="dxa"/>
                  <w:vAlign w:val="center"/>
                </w:tcPr>
                <w:p>
                  <w:pPr>
                    <w:pStyle w:val="53"/>
                    <w:keepNext w:val="0"/>
                    <w:keepLines w:val="0"/>
                    <w:pageBreakBefore w:val="0"/>
                    <w:widowControl w:val="0"/>
                    <w:kinsoku/>
                    <w:wordWrap/>
                    <w:overflowPunct/>
                    <w:topLinePunct w:val="0"/>
                    <w:autoSpaceDE/>
                    <w:autoSpaceDN/>
                    <w:bidi w:val="0"/>
                    <w:adjustRightInd/>
                    <w:snapToGrid/>
                    <w:spacing w:line="240" w:lineRule="exact"/>
                    <w:textAlignment w:val="auto"/>
                    <w:rPr>
                      <w:b/>
                      <w:color w:val="000000" w:themeColor="text1"/>
                      <w:sz w:val="18"/>
                      <w14:textFill>
                        <w14:solidFill>
                          <w14:schemeClr w14:val="tx1"/>
                        </w14:solidFill>
                      </w14:textFill>
                    </w:rPr>
                  </w:pPr>
                  <w:r>
                    <w:rPr>
                      <w:b/>
                      <w:color w:val="000000" w:themeColor="text1"/>
                      <w:sz w:val="18"/>
                      <w14:textFill>
                        <w14:solidFill>
                          <w14:schemeClr w14:val="tx1"/>
                        </w14:solidFill>
                      </w14:textFill>
                    </w:rPr>
                    <w:t>产生量（t/a）</w:t>
                  </w:r>
                </w:p>
              </w:tc>
              <w:tc>
                <w:tcPr>
                  <w:tcW w:w="689" w:type="dxa"/>
                  <w:vAlign w:val="center"/>
                </w:tcPr>
                <w:p>
                  <w:pPr>
                    <w:pStyle w:val="53"/>
                    <w:keepNext w:val="0"/>
                    <w:keepLines w:val="0"/>
                    <w:pageBreakBefore w:val="0"/>
                    <w:widowControl w:val="0"/>
                    <w:kinsoku/>
                    <w:wordWrap/>
                    <w:overflowPunct/>
                    <w:topLinePunct w:val="0"/>
                    <w:autoSpaceDE/>
                    <w:autoSpaceDN/>
                    <w:bidi w:val="0"/>
                    <w:adjustRightInd/>
                    <w:snapToGrid/>
                    <w:spacing w:line="240" w:lineRule="exact"/>
                    <w:textAlignment w:val="auto"/>
                    <w:rPr>
                      <w:b/>
                      <w:color w:val="000000" w:themeColor="text1"/>
                      <w:sz w:val="18"/>
                      <w14:textFill>
                        <w14:solidFill>
                          <w14:schemeClr w14:val="tx1"/>
                        </w14:solidFill>
                      </w14:textFill>
                    </w:rPr>
                  </w:pPr>
                  <w:r>
                    <w:rPr>
                      <w:b/>
                      <w:color w:val="000000" w:themeColor="text1"/>
                      <w:sz w:val="18"/>
                      <w14:textFill>
                        <w14:solidFill>
                          <w14:schemeClr w14:val="tx1"/>
                        </w14:solidFill>
                      </w14:textFill>
                    </w:rPr>
                    <w:t>形态</w:t>
                  </w:r>
                </w:p>
              </w:tc>
              <w:tc>
                <w:tcPr>
                  <w:tcW w:w="1391" w:type="dxa"/>
                  <w:vAlign w:val="center"/>
                </w:tcPr>
                <w:p>
                  <w:pPr>
                    <w:pStyle w:val="53"/>
                    <w:keepNext w:val="0"/>
                    <w:keepLines w:val="0"/>
                    <w:pageBreakBefore w:val="0"/>
                    <w:widowControl w:val="0"/>
                    <w:kinsoku/>
                    <w:wordWrap/>
                    <w:overflowPunct/>
                    <w:topLinePunct w:val="0"/>
                    <w:autoSpaceDE/>
                    <w:autoSpaceDN/>
                    <w:bidi w:val="0"/>
                    <w:adjustRightInd/>
                    <w:snapToGrid/>
                    <w:spacing w:line="240" w:lineRule="exact"/>
                    <w:textAlignment w:val="auto"/>
                    <w:rPr>
                      <w:b/>
                      <w:color w:val="000000" w:themeColor="text1"/>
                      <w:sz w:val="18"/>
                      <w14:textFill>
                        <w14:solidFill>
                          <w14:schemeClr w14:val="tx1"/>
                        </w14:solidFill>
                      </w14:textFill>
                    </w:rPr>
                  </w:pPr>
                  <w:r>
                    <w:rPr>
                      <w:b/>
                      <w:color w:val="000000" w:themeColor="text1"/>
                      <w:sz w:val="18"/>
                      <w14:textFill>
                        <w14:solidFill>
                          <w14:schemeClr w14:val="tx1"/>
                        </w14:solidFill>
                      </w14:textFill>
                    </w:rPr>
                    <w:t>主要成分</w:t>
                  </w:r>
                </w:p>
              </w:tc>
              <w:tc>
                <w:tcPr>
                  <w:tcW w:w="981" w:type="dxa"/>
                  <w:vAlign w:val="center"/>
                </w:tcPr>
                <w:p>
                  <w:pPr>
                    <w:pStyle w:val="53"/>
                    <w:keepNext w:val="0"/>
                    <w:keepLines w:val="0"/>
                    <w:pageBreakBefore w:val="0"/>
                    <w:widowControl w:val="0"/>
                    <w:kinsoku/>
                    <w:wordWrap/>
                    <w:overflowPunct/>
                    <w:topLinePunct w:val="0"/>
                    <w:autoSpaceDE/>
                    <w:autoSpaceDN/>
                    <w:bidi w:val="0"/>
                    <w:adjustRightInd/>
                    <w:snapToGrid/>
                    <w:spacing w:line="240" w:lineRule="exact"/>
                    <w:textAlignment w:val="auto"/>
                    <w:rPr>
                      <w:b/>
                      <w:color w:val="000000" w:themeColor="text1"/>
                      <w:sz w:val="18"/>
                      <w14:textFill>
                        <w14:solidFill>
                          <w14:schemeClr w14:val="tx1"/>
                        </w14:solidFill>
                      </w14:textFill>
                    </w:rPr>
                  </w:pPr>
                  <w:r>
                    <w:rPr>
                      <w:b/>
                      <w:color w:val="000000" w:themeColor="text1"/>
                      <w:sz w:val="18"/>
                      <w14:textFill>
                        <w14:solidFill>
                          <w14:schemeClr w14:val="tx1"/>
                        </w14:solidFill>
                      </w14:textFill>
                    </w:rPr>
                    <w:t>处置措施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pPr>
                    <w:pStyle w:val="53"/>
                    <w:keepNext w:val="0"/>
                    <w:keepLines w:val="0"/>
                    <w:pageBreakBefore w:val="0"/>
                    <w:widowControl w:val="0"/>
                    <w:kinsoku/>
                    <w:wordWrap/>
                    <w:overflowPunct/>
                    <w:topLinePunct w:val="0"/>
                    <w:autoSpaceDE/>
                    <w:autoSpaceDN/>
                    <w:bidi w:val="0"/>
                    <w:adjustRightInd/>
                    <w:snapToGrid/>
                    <w:spacing w:line="240" w:lineRule="exact"/>
                    <w:textAlignment w:val="auto"/>
                    <w:rPr>
                      <w:color w:val="000000" w:themeColor="text1"/>
                      <w:sz w:val="18"/>
                      <w14:textFill>
                        <w14:solidFill>
                          <w14:schemeClr w14:val="tx1"/>
                        </w14:solidFill>
                      </w14:textFill>
                    </w:rPr>
                  </w:pPr>
                  <w:r>
                    <w:rPr>
                      <w:color w:val="000000" w:themeColor="text1"/>
                      <w:sz w:val="18"/>
                      <w14:textFill>
                        <w14:solidFill>
                          <w14:schemeClr w14:val="tx1"/>
                        </w14:solidFill>
                      </w14:textFill>
                    </w:rPr>
                    <w:t>废定影液、显影液</w:t>
                  </w:r>
                </w:p>
              </w:tc>
              <w:tc>
                <w:tcPr>
                  <w:tcW w:w="709" w:type="dxa"/>
                  <w:vAlign w:val="center"/>
                </w:tcPr>
                <w:p>
                  <w:pPr>
                    <w:pStyle w:val="53"/>
                    <w:keepNext w:val="0"/>
                    <w:keepLines w:val="0"/>
                    <w:pageBreakBefore w:val="0"/>
                    <w:widowControl w:val="0"/>
                    <w:kinsoku/>
                    <w:wordWrap/>
                    <w:overflowPunct/>
                    <w:topLinePunct w:val="0"/>
                    <w:autoSpaceDE/>
                    <w:autoSpaceDN/>
                    <w:bidi w:val="0"/>
                    <w:adjustRightInd/>
                    <w:snapToGrid/>
                    <w:spacing w:line="240" w:lineRule="exact"/>
                    <w:textAlignment w:val="auto"/>
                    <w:rPr>
                      <w:color w:val="000000" w:themeColor="text1"/>
                      <w:sz w:val="18"/>
                      <w14:textFill>
                        <w14:solidFill>
                          <w14:schemeClr w14:val="tx1"/>
                        </w14:solidFill>
                      </w14:textFill>
                    </w:rPr>
                  </w:pPr>
                  <w:r>
                    <w:rPr>
                      <w:color w:val="000000" w:themeColor="text1"/>
                      <w:sz w:val="18"/>
                      <w14:textFill>
                        <w14:solidFill>
                          <w14:schemeClr w14:val="tx1"/>
                        </w14:solidFill>
                      </w14:textFill>
                    </w:rPr>
                    <w:t>HW16</w:t>
                  </w:r>
                </w:p>
              </w:tc>
              <w:tc>
                <w:tcPr>
                  <w:tcW w:w="1134" w:type="dxa"/>
                  <w:vAlign w:val="center"/>
                </w:tcPr>
                <w:p>
                  <w:pPr>
                    <w:pStyle w:val="53"/>
                    <w:keepNext w:val="0"/>
                    <w:keepLines w:val="0"/>
                    <w:pageBreakBefore w:val="0"/>
                    <w:widowControl w:val="0"/>
                    <w:kinsoku/>
                    <w:wordWrap/>
                    <w:overflowPunct/>
                    <w:topLinePunct w:val="0"/>
                    <w:autoSpaceDE/>
                    <w:autoSpaceDN/>
                    <w:bidi w:val="0"/>
                    <w:adjustRightInd/>
                    <w:snapToGrid/>
                    <w:spacing w:line="240" w:lineRule="exact"/>
                    <w:textAlignment w:val="auto"/>
                    <w:rPr>
                      <w:color w:val="000000" w:themeColor="text1"/>
                      <w:sz w:val="18"/>
                      <w14:textFill>
                        <w14:solidFill>
                          <w14:schemeClr w14:val="tx1"/>
                        </w14:solidFill>
                      </w14:textFill>
                    </w:rPr>
                  </w:pPr>
                  <w:r>
                    <w:rPr>
                      <w:color w:val="000000" w:themeColor="text1"/>
                      <w:sz w:val="18"/>
                      <w14:textFill>
                        <w14:solidFill>
                          <w14:schemeClr w14:val="tx1"/>
                        </w14:solidFill>
                      </w14:textFill>
                    </w:rPr>
                    <w:t>900-019-16</w:t>
                  </w:r>
                </w:p>
              </w:tc>
              <w:tc>
                <w:tcPr>
                  <w:tcW w:w="1418" w:type="dxa"/>
                  <w:vAlign w:val="center"/>
                </w:tcPr>
                <w:p>
                  <w:pPr>
                    <w:pStyle w:val="53"/>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eastAsia="宋体"/>
                      <w:color w:val="000000" w:themeColor="text1"/>
                      <w:sz w:val="18"/>
                      <w:lang w:val="en-US" w:eastAsia="zh-CN"/>
                      <w14:textFill>
                        <w14:solidFill>
                          <w14:schemeClr w14:val="tx1"/>
                        </w14:solidFill>
                      </w14:textFill>
                    </w:rPr>
                  </w:pPr>
                  <w:r>
                    <w:rPr>
                      <w:rFonts w:hint="eastAsia"/>
                      <w:color w:val="000000" w:themeColor="text1"/>
                      <w:sz w:val="18"/>
                      <w:lang w:val="en-US" w:eastAsia="zh-CN"/>
                      <w14:textFill>
                        <w14:solidFill>
                          <w14:schemeClr w14:val="tx1"/>
                        </w14:solidFill>
                      </w14:textFill>
                    </w:rPr>
                    <w:t>0.2</w:t>
                  </w:r>
                </w:p>
              </w:tc>
              <w:tc>
                <w:tcPr>
                  <w:tcW w:w="689" w:type="dxa"/>
                  <w:vAlign w:val="center"/>
                </w:tcPr>
                <w:p>
                  <w:pPr>
                    <w:pStyle w:val="53"/>
                    <w:keepNext w:val="0"/>
                    <w:keepLines w:val="0"/>
                    <w:pageBreakBefore w:val="0"/>
                    <w:widowControl w:val="0"/>
                    <w:kinsoku/>
                    <w:wordWrap/>
                    <w:overflowPunct/>
                    <w:topLinePunct w:val="0"/>
                    <w:autoSpaceDE/>
                    <w:autoSpaceDN/>
                    <w:bidi w:val="0"/>
                    <w:adjustRightInd/>
                    <w:snapToGrid/>
                    <w:spacing w:line="240" w:lineRule="exact"/>
                    <w:textAlignment w:val="auto"/>
                    <w:rPr>
                      <w:color w:val="000000" w:themeColor="text1"/>
                      <w:sz w:val="18"/>
                      <w14:textFill>
                        <w14:solidFill>
                          <w14:schemeClr w14:val="tx1"/>
                        </w14:solidFill>
                      </w14:textFill>
                    </w:rPr>
                  </w:pPr>
                  <w:r>
                    <w:rPr>
                      <w:color w:val="000000" w:themeColor="text1"/>
                      <w:sz w:val="18"/>
                      <w14:textFill>
                        <w14:solidFill>
                          <w14:schemeClr w14:val="tx1"/>
                        </w14:solidFill>
                      </w14:textFill>
                    </w:rPr>
                    <w:t>液态</w:t>
                  </w:r>
                </w:p>
              </w:tc>
              <w:tc>
                <w:tcPr>
                  <w:tcW w:w="1391" w:type="dxa"/>
                  <w:vAlign w:val="center"/>
                </w:tcPr>
                <w:p>
                  <w:pPr>
                    <w:pStyle w:val="53"/>
                    <w:keepNext w:val="0"/>
                    <w:keepLines w:val="0"/>
                    <w:pageBreakBefore w:val="0"/>
                    <w:widowControl w:val="0"/>
                    <w:kinsoku/>
                    <w:wordWrap/>
                    <w:overflowPunct/>
                    <w:topLinePunct w:val="0"/>
                    <w:autoSpaceDE/>
                    <w:autoSpaceDN/>
                    <w:bidi w:val="0"/>
                    <w:adjustRightInd/>
                    <w:snapToGrid/>
                    <w:spacing w:line="240" w:lineRule="exact"/>
                    <w:textAlignment w:val="auto"/>
                    <w:rPr>
                      <w:color w:val="000000" w:themeColor="text1"/>
                      <w:sz w:val="18"/>
                      <w14:textFill>
                        <w14:solidFill>
                          <w14:schemeClr w14:val="tx1"/>
                        </w14:solidFill>
                      </w14:textFill>
                    </w:rPr>
                  </w:pPr>
                  <w:r>
                    <w:rPr>
                      <w:color w:val="000000" w:themeColor="text1"/>
                      <w:sz w:val="18"/>
                      <w14:textFill>
                        <w14:solidFill>
                          <w14:schemeClr w14:val="tx1"/>
                        </w14:solidFill>
                      </w14:textFill>
                    </w:rPr>
                    <w:t>苯二酚、亚硫酸钠、重金属银</w:t>
                  </w:r>
                </w:p>
              </w:tc>
              <w:tc>
                <w:tcPr>
                  <w:tcW w:w="981" w:type="dxa"/>
                  <w:vMerge w:val="restart"/>
                  <w:vAlign w:val="center"/>
                </w:tcPr>
                <w:p>
                  <w:pPr>
                    <w:pStyle w:val="53"/>
                    <w:keepNext w:val="0"/>
                    <w:keepLines w:val="0"/>
                    <w:pageBreakBefore w:val="0"/>
                    <w:widowControl w:val="0"/>
                    <w:kinsoku/>
                    <w:wordWrap/>
                    <w:overflowPunct/>
                    <w:topLinePunct w:val="0"/>
                    <w:autoSpaceDE/>
                    <w:autoSpaceDN/>
                    <w:bidi w:val="0"/>
                    <w:adjustRightInd/>
                    <w:snapToGrid/>
                    <w:spacing w:line="240" w:lineRule="exact"/>
                    <w:textAlignment w:val="auto"/>
                    <w:rPr>
                      <w:color w:val="000000" w:themeColor="text1"/>
                      <w:sz w:val="18"/>
                      <w14:textFill>
                        <w14:solidFill>
                          <w14:schemeClr w14:val="tx1"/>
                        </w14:solidFill>
                      </w14:textFill>
                    </w:rPr>
                  </w:pPr>
                  <w:r>
                    <w:rPr>
                      <w:color w:val="000000" w:themeColor="text1"/>
                      <w:sz w:val="18"/>
                      <w14:textFill>
                        <w14:solidFill>
                          <w14:schemeClr w14:val="tx1"/>
                        </w14:solidFill>
                      </w14:textFill>
                    </w:rPr>
                    <w:t>集中收集于危废暂存间，定期交有资质单位处理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pPr>
                    <w:pStyle w:val="53"/>
                    <w:keepNext w:val="0"/>
                    <w:keepLines w:val="0"/>
                    <w:pageBreakBefore w:val="0"/>
                    <w:widowControl w:val="0"/>
                    <w:kinsoku/>
                    <w:wordWrap/>
                    <w:overflowPunct/>
                    <w:topLinePunct w:val="0"/>
                    <w:autoSpaceDE/>
                    <w:autoSpaceDN/>
                    <w:bidi w:val="0"/>
                    <w:adjustRightInd/>
                    <w:snapToGrid/>
                    <w:spacing w:line="240" w:lineRule="exact"/>
                    <w:textAlignment w:val="auto"/>
                    <w:rPr>
                      <w:color w:val="000000" w:themeColor="text1"/>
                      <w:sz w:val="18"/>
                      <w14:textFill>
                        <w14:solidFill>
                          <w14:schemeClr w14:val="tx1"/>
                        </w14:solidFill>
                      </w14:textFill>
                    </w:rPr>
                  </w:pPr>
                  <w:r>
                    <w:rPr>
                      <w:color w:val="000000" w:themeColor="text1"/>
                      <w:sz w:val="18"/>
                      <w14:textFill>
                        <w14:solidFill>
                          <w14:schemeClr w14:val="tx1"/>
                        </w14:solidFill>
                      </w14:textFill>
                    </w:rPr>
                    <w:t>冲洗废水</w:t>
                  </w:r>
                </w:p>
              </w:tc>
              <w:tc>
                <w:tcPr>
                  <w:tcW w:w="709"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HW16</w:t>
                  </w:r>
                </w:p>
              </w:tc>
              <w:tc>
                <w:tcPr>
                  <w:tcW w:w="1134" w:type="dxa"/>
                  <w:vAlign w:val="center"/>
                </w:tcPr>
                <w:p>
                  <w:pPr>
                    <w:pStyle w:val="53"/>
                    <w:keepNext w:val="0"/>
                    <w:keepLines w:val="0"/>
                    <w:pageBreakBefore w:val="0"/>
                    <w:widowControl w:val="0"/>
                    <w:kinsoku/>
                    <w:wordWrap/>
                    <w:overflowPunct/>
                    <w:topLinePunct w:val="0"/>
                    <w:autoSpaceDE/>
                    <w:autoSpaceDN/>
                    <w:bidi w:val="0"/>
                    <w:adjustRightInd/>
                    <w:snapToGrid/>
                    <w:spacing w:line="240" w:lineRule="exact"/>
                    <w:textAlignment w:val="auto"/>
                    <w:rPr>
                      <w:color w:val="000000" w:themeColor="text1"/>
                      <w:sz w:val="18"/>
                      <w14:textFill>
                        <w14:solidFill>
                          <w14:schemeClr w14:val="tx1"/>
                        </w14:solidFill>
                      </w14:textFill>
                    </w:rPr>
                  </w:pPr>
                  <w:r>
                    <w:rPr>
                      <w:color w:val="000000" w:themeColor="text1"/>
                      <w:sz w:val="18"/>
                      <w14:textFill>
                        <w14:solidFill>
                          <w14:schemeClr w14:val="tx1"/>
                        </w14:solidFill>
                      </w14:textFill>
                    </w:rPr>
                    <w:t>900-019-16</w:t>
                  </w:r>
                </w:p>
              </w:tc>
              <w:tc>
                <w:tcPr>
                  <w:tcW w:w="1418" w:type="dxa"/>
                  <w:vAlign w:val="center"/>
                </w:tcPr>
                <w:p>
                  <w:pPr>
                    <w:pStyle w:val="53"/>
                    <w:keepNext w:val="0"/>
                    <w:keepLines w:val="0"/>
                    <w:pageBreakBefore w:val="0"/>
                    <w:widowControl w:val="0"/>
                    <w:kinsoku/>
                    <w:wordWrap/>
                    <w:overflowPunct/>
                    <w:topLinePunct w:val="0"/>
                    <w:autoSpaceDE/>
                    <w:autoSpaceDN/>
                    <w:bidi w:val="0"/>
                    <w:adjustRightInd/>
                    <w:snapToGrid/>
                    <w:spacing w:line="240" w:lineRule="exact"/>
                    <w:textAlignment w:val="auto"/>
                    <w:rPr>
                      <w:color w:val="000000" w:themeColor="text1"/>
                      <w:sz w:val="18"/>
                      <w14:textFill>
                        <w14:solidFill>
                          <w14:schemeClr w14:val="tx1"/>
                        </w14:solidFill>
                      </w14:textFill>
                    </w:rPr>
                  </w:pPr>
                  <w:r>
                    <w:rPr>
                      <w:rFonts w:hint="eastAsia"/>
                      <w:color w:val="000000" w:themeColor="text1"/>
                      <w:sz w:val="18"/>
                      <w:lang w:val="en-US" w:eastAsia="zh-CN"/>
                      <w14:textFill>
                        <w14:solidFill>
                          <w14:schemeClr w14:val="tx1"/>
                        </w14:solidFill>
                      </w14:textFill>
                    </w:rPr>
                    <w:t>0.2</w:t>
                  </w:r>
                </w:p>
              </w:tc>
              <w:tc>
                <w:tcPr>
                  <w:tcW w:w="689" w:type="dxa"/>
                  <w:vAlign w:val="center"/>
                </w:tcPr>
                <w:p>
                  <w:pPr>
                    <w:pStyle w:val="53"/>
                    <w:keepNext w:val="0"/>
                    <w:keepLines w:val="0"/>
                    <w:pageBreakBefore w:val="0"/>
                    <w:widowControl w:val="0"/>
                    <w:kinsoku/>
                    <w:wordWrap/>
                    <w:overflowPunct/>
                    <w:topLinePunct w:val="0"/>
                    <w:autoSpaceDE/>
                    <w:autoSpaceDN/>
                    <w:bidi w:val="0"/>
                    <w:adjustRightInd/>
                    <w:snapToGrid/>
                    <w:spacing w:line="240" w:lineRule="exact"/>
                    <w:textAlignment w:val="auto"/>
                    <w:rPr>
                      <w:color w:val="000000" w:themeColor="text1"/>
                      <w:sz w:val="18"/>
                      <w14:textFill>
                        <w14:solidFill>
                          <w14:schemeClr w14:val="tx1"/>
                        </w14:solidFill>
                      </w14:textFill>
                    </w:rPr>
                  </w:pPr>
                  <w:r>
                    <w:rPr>
                      <w:color w:val="000000" w:themeColor="text1"/>
                      <w:sz w:val="18"/>
                      <w14:textFill>
                        <w14:solidFill>
                          <w14:schemeClr w14:val="tx1"/>
                        </w14:solidFill>
                      </w14:textFill>
                    </w:rPr>
                    <w:t>液态</w:t>
                  </w:r>
                </w:p>
              </w:tc>
              <w:tc>
                <w:tcPr>
                  <w:tcW w:w="1391" w:type="dxa"/>
                  <w:vAlign w:val="center"/>
                </w:tcPr>
                <w:p>
                  <w:pPr>
                    <w:pStyle w:val="53"/>
                    <w:keepNext w:val="0"/>
                    <w:keepLines w:val="0"/>
                    <w:pageBreakBefore w:val="0"/>
                    <w:widowControl w:val="0"/>
                    <w:kinsoku/>
                    <w:wordWrap/>
                    <w:overflowPunct/>
                    <w:topLinePunct w:val="0"/>
                    <w:autoSpaceDE/>
                    <w:autoSpaceDN/>
                    <w:bidi w:val="0"/>
                    <w:adjustRightInd/>
                    <w:snapToGrid/>
                    <w:spacing w:line="240" w:lineRule="exact"/>
                    <w:textAlignment w:val="auto"/>
                    <w:rPr>
                      <w:color w:val="000000" w:themeColor="text1"/>
                      <w:sz w:val="18"/>
                      <w14:textFill>
                        <w14:solidFill>
                          <w14:schemeClr w14:val="tx1"/>
                        </w14:solidFill>
                      </w14:textFill>
                    </w:rPr>
                  </w:pPr>
                  <w:r>
                    <w:rPr>
                      <w:color w:val="000000" w:themeColor="text1"/>
                      <w:sz w:val="18"/>
                      <w14:textFill>
                        <w14:solidFill>
                          <w14:schemeClr w14:val="tx1"/>
                        </w14:solidFill>
                      </w14:textFill>
                    </w:rPr>
                    <w:t>对苯二甲酸、重金属银</w:t>
                  </w:r>
                </w:p>
              </w:tc>
              <w:tc>
                <w:tcPr>
                  <w:tcW w:w="981" w:type="dxa"/>
                  <w:vMerge w:val="continue"/>
                  <w:vAlign w:val="center"/>
                </w:tcPr>
                <w:p>
                  <w:pPr>
                    <w:pStyle w:val="53"/>
                    <w:keepNext w:val="0"/>
                    <w:keepLines w:val="0"/>
                    <w:pageBreakBefore w:val="0"/>
                    <w:widowControl w:val="0"/>
                    <w:kinsoku/>
                    <w:wordWrap/>
                    <w:overflowPunct/>
                    <w:topLinePunct w:val="0"/>
                    <w:autoSpaceDE/>
                    <w:autoSpaceDN/>
                    <w:bidi w:val="0"/>
                    <w:adjustRightInd/>
                    <w:snapToGrid/>
                    <w:spacing w:line="240" w:lineRule="exact"/>
                    <w:textAlignment w:val="auto"/>
                    <w:rPr>
                      <w:color w:val="000000" w:themeColor="text1"/>
                      <w:sz w:val="1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pPr>
                    <w:pStyle w:val="53"/>
                    <w:keepNext w:val="0"/>
                    <w:keepLines w:val="0"/>
                    <w:pageBreakBefore w:val="0"/>
                    <w:widowControl w:val="0"/>
                    <w:kinsoku/>
                    <w:wordWrap/>
                    <w:overflowPunct/>
                    <w:topLinePunct w:val="0"/>
                    <w:autoSpaceDE/>
                    <w:autoSpaceDN/>
                    <w:bidi w:val="0"/>
                    <w:adjustRightInd/>
                    <w:snapToGrid/>
                    <w:spacing w:line="240" w:lineRule="exact"/>
                    <w:textAlignment w:val="auto"/>
                    <w:rPr>
                      <w:color w:val="000000" w:themeColor="text1"/>
                      <w:sz w:val="18"/>
                      <w14:textFill>
                        <w14:solidFill>
                          <w14:schemeClr w14:val="tx1"/>
                        </w14:solidFill>
                      </w14:textFill>
                    </w:rPr>
                  </w:pPr>
                  <w:r>
                    <w:rPr>
                      <w:color w:val="000000" w:themeColor="text1"/>
                      <w:sz w:val="18"/>
                      <w14:textFill>
                        <w14:solidFill>
                          <w14:schemeClr w14:val="tx1"/>
                        </w14:solidFill>
                      </w14:textFill>
                    </w:rPr>
                    <w:t>废旧胶片</w:t>
                  </w:r>
                </w:p>
              </w:tc>
              <w:tc>
                <w:tcPr>
                  <w:tcW w:w="709"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HW16</w:t>
                  </w:r>
                </w:p>
              </w:tc>
              <w:tc>
                <w:tcPr>
                  <w:tcW w:w="1134" w:type="dxa"/>
                  <w:vAlign w:val="center"/>
                </w:tcPr>
                <w:p>
                  <w:pPr>
                    <w:pStyle w:val="53"/>
                    <w:keepNext w:val="0"/>
                    <w:keepLines w:val="0"/>
                    <w:pageBreakBefore w:val="0"/>
                    <w:widowControl w:val="0"/>
                    <w:kinsoku/>
                    <w:wordWrap/>
                    <w:overflowPunct/>
                    <w:topLinePunct w:val="0"/>
                    <w:autoSpaceDE/>
                    <w:autoSpaceDN/>
                    <w:bidi w:val="0"/>
                    <w:adjustRightInd/>
                    <w:snapToGrid/>
                    <w:spacing w:line="240" w:lineRule="exact"/>
                    <w:textAlignment w:val="auto"/>
                    <w:rPr>
                      <w:color w:val="000000" w:themeColor="text1"/>
                      <w:sz w:val="18"/>
                      <w14:textFill>
                        <w14:solidFill>
                          <w14:schemeClr w14:val="tx1"/>
                        </w14:solidFill>
                      </w14:textFill>
                    </w:rPr>
                  </w:pPr>
                  <w:r>
                    <w:rPr>
                      <w:color w:val="000000" w:themeColor="text1"/>
                      <w:sz w:val="18"/>
                      <w14:textFill>
                        <w14:solidFill>
                          <w14:schemeClr w14:val="tx1"/>
                        </w14:solidFill>
                      </w14:textFill>
                    </w:rPr>
                    <w:t>900-019-16</w:t>
                  </w:r>
                </w:p>
              </w:tc>
              <w:tc>
                <w:tcPr>
                  <w:tcW w:w="1418" w:type="dxa"/>
                  <w:vAlign w:val="center"/>
                </w:tcPr>
                <w:p>
                  <w:pPr>
                    <w:pStyle w:val="53"/>
                    <w:keepNext w:val="0"/>
                    <w:keepLines w:val="0"/>
                    <w:pageBreakBefore w:val="0"/>
                    <w:widowControl w:val="0"/>
                    <w:kinsoku/>
                    <w:wordWrap/>
                    <w:overflowPunct/>
                    <w:topLinePunct w:val="0"/>
                    <w:autoSpaceDE/>
                    <w:autoSpaceDN/>
                    <w:bidi w:val="0"/>
                    <w:adjustRightInd/>
                    <w:snapToGrid/>
                    <w:spacing w:line="240" w:lineRule="exact"/>
                    <w:textAlignment w:val="auto"/>
                    <w:rPr>
                      <w:color w:val="000000" w:themeColor="text1"/>
                      <w:sz w:val="18"/>
                      <w14:textFill>
                        <w14:solidFill>
                          <w14:schemeClr w14:val="tx1"/>
                        </w14:solidFill>
                      </w14:textFill>
                    </w:rPr>
                  </w:pPr>
                  <w:r>
                    <w:rPr>
                      <w:rFonts w:hint="eastAsia"/>
                      <w:color w:val="000000" w:themeColor="text1"/>
                      <w:sz w:val="18"/>
                      <w14:textFill>
                        <w14:solidFill>
                          <w14:schemeClr w14:val="tx1"/>
                        </w14:solidFill>
                      </w14:textFill>
                    </w:rPr>
                    <w:t>0.0</w:t>
                  </w:r>
                  <w:r>
                    <w:rPr>
                      <w:rFonts w:hint="eastAsia"/>
                      <w:color w:val="000000" w:themeColor="text1"/>
                      <w:sz w:val="18"/>
                      <w:lang w:val="en-US" w:eastAsia="zh-CN"/>
                      <w14:textFill>
                        <w14:solidFill>
                          <w14:schemeClr w14:val="tx1"/>
                        </w14:solidFill>
                      </w14:textFill>
                    </w:rPr>
                    <w:t>02</w:t>
                  </w:r>
                  <w:r>
                    <w:rPr>
                      <w:rFonts w:hint="eastAsia"/>
                      <w:color w:val="000000" w:themeColor="text1"/>
                      <w:sz w:val="18"/>
                      <w14:textFill>
                        <w14:solidFill>
                          <w14:schemeClr w14:val="tx1"/>
                        </w14:solidFill>
                      </w14:textFill>
                    </w:rPr>
                    <w:t>（十年内）</w:t>
                  </w:r>
                </w:p>
                <w:p>
                  <w:pPr>
                    <w:pStyle w:val="53"/>
                    <w:keepNext w:val="0"/>
                    <w:keepLines w:val="0"/>
                    <w:pageBreakBefore w:val="0"/>
                    <w:widowControl w:val="0"/>
                    <w:kinsoku/>
                    <w:wordWrap/>
                    <w:overflowPunct/>
                    <w:topLinePunct w:val="0"/>
                    <w:autoSpaceDE/>
                    <w:autoSpaceDN/>
                    <w:bidi w:val="0"/>
                    <w:adjustRightInd/>
                    <w:snapToGrid/>
                    <w:spacing w:line="240" w:lineRule="exact"/>
                    <w:textAlignment w:val="auto"/>
                    <w:rPr>
                      <w:color w:val="000000" w:themeColor="text1"/>
                      <w:sz w:val="18"/>
                      <w14:textFill>
                        <w14:solidFill>
                          <w14:schemeClr w14:val="tx1"/>
                        </w14:solidFill>
                      </w14:textFill>
                    </w:rPr>
                  </w:pPr>
                  <w:r>
                    <w:rPr>
                      <w:rFonts w:hint="eastAsia"/>
                      <w:color w:val="000000" w:themeColor="text1"/>
                      <w:sz w:val="18"/>
                      <w:lang w:val="en-US" w:eastAsia="zh-CN"/>
                      <w14:textFill>
                        <w14:solidFill>
                          <w14:schemeClr w14:val="tx1"/>
                        </w14:solidFill>
                      </w14:textFill>
                    </w:rPr>
                    <w:t>0.27</w:t>
                  </w:r>
                  <w:r>
                    <w:rPr>
                      <w:rFonts w:hint="eastAsia"/>
                      <w:color w:val="000000" w:themeColor="text1"/>
                      <w:sz w:val="18"/>
                      <w14:textFill>
                        <w14:solidFill>
                          <w14:schemeClr w14:val="tx1"/>
                        </w14:solidFill>
                      </w14:textFill>
                    </w:rPr>
                    <w:t>（十年后）</w:t>
                  </w:r>
                </w:p>
              </w:tc>
              <w:tc>
                <w:tcPr>
                  <w:tcW w:w="689" w:type="dxa"/>
                  <w:vAlign w:val="center"/>
                </w:tcPr>
                <w:p>
                  <w:pPr>
                    <w:pStyle w:val="53"/>
                    <w:keepNext w:val="0"/>
                    <w:keepLines w:val="0"/>
                    <w:pageBreakBefore w:val="0"/>
                    <w:widowControl w:val="0"/>
                    <w:kinsoku/>
                    <w:wordWrap/>
                    <w:overflowPunct/>
                    <w:topLinePunct w:val="0"/>
                    <w:autoSpaceDE/>
                    <w:autoSpaceDN/>
                    <w:bidi w:val="0"/>
                    <w:adjustRightInd/>
                    <w:snapToGrid/>
                    <w:spacing w:line="240" w:lineRule="exact"/>
                    <w:textAlignment w:val="auto"/>
                    <w:rPr>
                      <w:color w:val="000000" w:themeColor="text1"/>
                      <w:sz w:val="18"/>
                      <w14:textFill>
                        <w14:solidFill>
                          <w14:schemeClr w14:val="tx1"/>
                        </w14:solidFill>
                      </w14:textFill>
                    </w:rPr>
                  </w:pPr>
                  <w:r>
                    <w:rPr>
                      <w:color w:val="000000" w:themeColor="text1"/>
                      <w:sz w:val="18"/>
                      <w14:textFill>
                        <w14:solidFill>
                          <w14:schemeClr w14:val="tx1"/>
                        </w14:solidFill>
                      </w14:textFill>
                    </w:rPr>
                    <w:t>固态</w:t>
                  </w:r>
                </w:p>
              </w:tc>
              <w:tc>
                <w:tcPr>
                  <w:tcW w:w="1391" w:type="dxa"/>
                  <w:vAlign w:val="center"/>
                </w:tcPr>
                <w:p>
                  <w:pPr>
                    <w:pStyle w:val="53"/>
                    <w:keepNext w:val="0"/>
                    <w:keepLines w:val="0"/>
                    <w:pageBreakBefore w:val="0"/>
                    <w:widowControl w:val="0"/>
                    <w:kinsoku/>
                    <w:wordWrap/>
                    <w:overflowPunct/>
                    <w:topLinePunct w:val="0"/>
                    <w:autoSpaceDE/>
                    <w:autoSpaceDN/>
                    <w:bidi w:val="0"/>
                    <w:adjustRightInd/>
                    <w:snapToGrid/>
                    <w:spacing w:line="240" w:lineRule="exact"/>
                    <w:textAlignment w:val="auto"/>
                    <w:rPr>
                      <w:color w:val="000000" w:themeColor="text1"/>
                      <w:sz w:val="18"/>
                      <w14:textFill>
                        <w14:solidFill>
                          <w14:schemeClr w14:val="tx1"/>
                        </w14:solidFill>
                      </w14:textFill>
                    </w:rPr>
                  </w:pPr>
                  <w:r>
                    <w:rPr>
                      <w:color w:val="000000" w:themeColor="text1"/>
                      <w:sz w:val="18"/>
                      <w14:textFill>
                        <w14:solidFill>
                          <w14:schemeClr w14:val="tx1"/>
                        </w14:solidFill>
                      </w14:textFill>
                    </w:rPr>
                    <w:t>明胶、卤化银</w:t>
                  </w:r>
                </w:p>
              </w:tc>
              <w:tc>
                <w:tcPr>
                  <w:tcW w:w="981" w:type="dxa"/>
                  <w:vMerge w:val="continue"/>
                  <w:vAlign w:val="center"/>
                </w:tcPr>
                <w:p>
                  <w:pPr>
                    <w:pStyle w:val="53"/>
                    <w:keepNext w:val="0"/>
                    <w:keepLines w:val="0"/>
                    <w:pageBreakBefore w:val="0"/>
                    <w:widowControl w:val="0"/>
                    <w:kinsoku/>
                    <w:wordWrap/>
                    <w:overflowPunct/>
                    <w:topLinePunct w:val="0"/>
                    <w:autoSpaceDE/>
                    <w:autoSpaceDN/>
                    <w:bidi w:val="0"/>
                    <w:adjustRightInd/>
                    <w:snapToGrid/>
                    <w:spacing w:line="240" w:lineRule="exact"/>
                    <w:textAlignment w:val="auto"/>
                    <w:rPr>
                      <w:color w:val="000000" w:themeColor="text1"/>
                      <w:sz w:val="18"/>
                      <w14:textFill>
                        <w14:solidFill>
                          <w14:schemeClr w14:val="tx1"/>
                        </w14:solidFill>
                      </w14:textFill>
                    </w:rPr>
                  </w:pPr>
                </w:p>
              </w:tc>
            </w:tr>
          </w:tbl>
          <w:p>
            <w:pPr>
              <w:pStyle w:val="49"/>
              <w:rPr>
                <w:color w:val="auto"/>
              </w:rPr>
            </w:pPr>
            <w:r>
              <w:rPr>
                <w:color w:val="auto"/>
              </w:rPr>
              <w:t>表</w:t>
            </w:r>
            <w:r>
              <w:rPr>
                <w:rFonts w:eastAsia="Times New Roman"/>
                <w:color w:val="auto"/>
              </w:rPr>
              <w:t>9-</w:t>
            </w:r>
            <w:r>
              <w:rPr>
                <w:rFonts w:hint="eastAsia" w:eastAsia="宋体"/>
                <w:color w:val="auto"/>
                <w:lang w:val="en-US" w:eastAsia="zh-CN"/>
              </w:rPr>
              <w:t>2</w:t>
            </w:r>
            <w:r>
              <w:rPr>
                <w:rFonts w:hint="eastAsia"/>
                <w:color w:val="auto"/>
              </w:rPr>
              <w:t>项目污染因子一览表</w:t>
            </w: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8"/>
              <w:gridCol w:w="2468"/>
              <w:gridCol w:w="40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8" w:type="dxa"/>
                  <w:noWrap w:val="0"/>
                  <w:vAlign w:val="center"/>
                </w:tcPr>
                <w:p>
                  <w:pPr>
                    <w:pStyle w:val="53"/>
                    <w:rPr>
                      <w:b/>
                      <w:color w:val="auto"/>
                    </w:rPr>
                  </w:pPr>
                  <w:r>
                    <w:rPr>
                      <w:rFonts w:hint="eastAsia"/>
                      <w:b/>
                      <w:color w:val="auto"/>
                    </w:rPr>
                    <w:t>污染物</w:t>
                  </w:r>
                </w:p>
              </w:tc>
              <w:tc>
                <w:tcPr>
                  <w:tcW w:w="2468" w:type="dxa"/>
                  <w:noWrap w:val="0"/>
                  <w:vAlign w:val="center"/>
                </w:tcPr>
                <w:p>
                  <w:pPr>
                    <w:pStyle w:val="53"/>
                    <w:rPr>
                      <w:b/>
                      <w:color w:val="auto"/>
                    </w:rPr>
                  </w:pPr>
                  <w:r>
                    <w:rPr>
                      <w:rFonts w:hint="eastAsia"/>
                      <w:b/>
                      <w:color w:val="auto"/>
                    </w:rPr>
                    <w:t>污染因子</w:t>
                  </w:r>
                </w:p>
              </w:tc>
              <w:tc>
                <w:tcPr>
                  <w:tcW w:w="4009" w:type="dxa"/>
                  <w:noWrap w:val="0"/>
                  <w:vAlign w:val="center"/>
                </w:tcPr>
                <w:p>
                  <w:pPr>
                    <w:pStyle w:val="53"/>
                    <w:rPr>
                      <w:b/>
                      <w:color w:val="auto"/>
                    </w:rPr>
                  </w:pPr>
                  <w:r>
                    <w:rPr>
                      <w:b/>
                      <w:color w:val="auto"/>
                    </w:rPr>
                    <w:t>处理方式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8" w:type="dxa"/>
                  <w:noWrap w:val="0"/>
                  <w:vAlign w:val="center"/>
                </w:tcPr>
                <w:p>
                  <w:pPr>
                    <w:pStyle w:val="53"/>
                    <w:rPr>
                      <w:color w:val="auto"/>
                    </w:rPr>
                  </w:pPr>
                  <w:r>
                    <w:rPr>
                      <w:rFonts w:hint="eastAsia"/>
                      <w:color w:val="auto"/>
                    </w:rPr>
                    <w:t>电离辐射</w:t>
                  </w:r>
                </w:p>
              </w:tc>
              <w:tc>
                <w:tcPr>
                  <w:tcW w:w="2468" w:type="dxa"/>
                  <w:noWrap w:val="0"/>
                  <w:vAlign w:val="center"/>
                </w:tcPr>
                <w:p>
                  <w:pPr>
                    <w:pStyle w:val="53"/>
                    <w:rPr>
                      <w:color w:val="auto"/>
                    </w:rPr>
                  </w:pPr>
                  <w:r>
                    <w:rPr>
                      <w:rFonts w:hint="eastAsia"/>
                      <w:color w:val="auto"/>
                    </w:rPr>
                    <w:t>X射线</w:t>
                  </w:r>
                </w:p>
              </w:tc>
              <w:tc>
                <w:tcPr>
                  <w:tcW w:w="4009" w:type="dxa"/>
                  <w:noWrap w:val="0"/>
                  <w:vAlign w:val="center"/>
                </w:tcPr>
                <w:p>
                  <w:pPr>
                    <w:pStyle w:val="53"/>
                    <w:rPr>
                      <w:color w:val="auto"/>
                    </w:rPr>
                  </w:pPr>
                  <w:r>
                    <w:rPr>
                      <w:rFonts w:hint="eastAsia" w:ascii="TimesNewRomanPSMT" w:hAnsi="TimesNewRomanPSMT"/>
                      <w:color w:val="auto"/>
                    </w:rPr>
                    <w:t>探伤室实体屏蔽</w:t>
                  </w:r>
                  <w:r>
                    <w:rPr>
                      <w:rFonts w:ascii="TimesNewRomanPSMT" w:hAnsi="TimesNewRomanPSMT"/>
                      <w:color w:val="auto"/>
                    </w:rPr>
                    <w:t>，分区管理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8" w:type="dxa"/>
                  <w:noWrap w:val="0"/>
                  <w:vAlign w:val="center"/>
                </w:tcPr>
                <w:p>
                  <w:pPr>
                    <w:pStyle w:val="53"/>
                    <w:rPr>
                      <w:color w:val="auto"/>
                    </w:rPr>
                  </w:pPr>
                  <w:r>
                    <w:rPr>
                      <w:rFonts w:hint="eastAsia"/>
                      <w:color w:val="auto"/>
                    </w:rPr>
                    <w:t>废气</w:t>
                  </w:r>
                </w:p>
              </w:tc>
              <w:tc>
                <w:tcPr>
                  <w:tcW w:w="2468" w:type="dxa"/>
                  <w:noWrap w:val="0"/>
                  <w:vAlign w:val="center"/>
                </w:tcPr>
                <w:p>
                  <w:pPr>
                    <w:pStyle w:val="53"/>
                    <w:rPr>
                      <w:color w:val="auto"/>
                    </w:rPr>
                  </w:pPr>
                  <w:r>
                    <w:rPr>
                      <w:rFonts w:hint="eastAsia"/>
                      <w:color w:val="auto"/>
                    </w:rPr>
                    <w:t>O</w:t>
                  </w:r>
                  <w:r>
                    <w:rPr>
                      <w:rFonts w:hint="eastAsia"/>
                      <w:color w:val="auto"/>
                      <w:vertAlign w:val="subscript"/>
                    </w:rPr>
                    <w:t>3</w:t>
                  </w:r>
                  <w:r>
                    <w:rPr>
                      <w:rFonts w:hint="eastAsia"/>
                      <w:color w:val="auto"/>
                    </w:rPr>
                    <w:t>、NO</w:t>
                  </w:r>
                  <w:r>
                    <w:rPr>
                      <w:rFonts w:hint="eastAsia"/>
                      <w:color w:val="auto"/>
                      <w:vertAlign w:val="subscript"/>
                    </w:rPr>
                    <w:t>x</w:t>
                  </w:r>
                </w:p>
              </w:tc>
              <w:tc>
                <w:tcPr>
                  <w:tcW w:w="4009" w:type="dxa"/>
                  <w:noWrap w:val="0"/>
                  <w:vAlign w:val="center"/>
                </w:tcPr>
                <w:p>
                  <w:pPr>
                    <w:pStyle w:val="53"/>
                    <w:rPr>
                      <w:color w:val="auto"/>
                    </w:rPr>
                  </w:pPr>
                  <w:r>
                    <w:rPr>
                      <w:rFonts w:hint="eastAsia" w:ascii="宋体" w:hAnsi="宋体" w:cs="宋体"/>
                      <w:color w:val="auto"/>
                      <w:kern w:val="0"/>
                    </w:rPr>
                    <w:t>经通风系统装置排出，随空气扩散，不会对公众人员以及外环境造成影响。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8" w:type="dxa"/>
                  <w:noWrap w:val="0"/>
                  <w:vAlign w:val="center"/>
                </w:tcPr>
                <w:p>
                  <w:pPr>
                    <w:pStyle w:val="53"/>
                    <w:ind w:firstLine="0" w:firstLineChars="0"/>
                    <w:rPr>
                      <w:rFonts w:hint="eastAsia"/>
                      <w:color w:val="auto"/>
                    </w:rPr>
                  </w:pPr>
                  <w:r>
                    <w:rPr>
                      <w:rFonts w:hint="eastAsia"/>
                      <w:color w:val="000000" w:themeColor="text1"/>
                      <w14:textFill>
                        <w14:solidFill>
                          <w14:schemeClr w14:val="tx1"/>
                        </w14:solidFill>
                      </w14:textFill>
                    </w:rPr>
                    <w:t>固体废物</w:t>
                  </w:r>
                </w:p>
              </w:tc>
              <w:tc>
                <w:tcPr>
                  <w:tcW w:w="2468" w:type="dxa"/>
                  <w:noWrap w:val="0"/>
                  <w:vAlign w:val="center"/>
                </w:tcPr>
                <w:p>
                  <w:pPr>
                    <w:pStyle w:val="53"/>
                    <w:ind w:firstLine="0" w:firstLineChars="0"/>
                    <w:rPr>
                      <w:rFonts w:hint="eastAsia"/>
                      <w:color w:val="auto"/>
                    </w:rPr>
                  </w:pPr>
                  <w:r>
                    <w:rPr>
                      <w:rFonts w:hint="eastAsia" w:ascii="宋体" w:hAnsi="宋体" w:eastAsia="宋体" w:cs="宋体"/>
                      <w:color w:val="000000" w:themeColor="text1"/>
                      <w:kern w:val="0"/>
                      <w14:textFill>
                        <w14:solidFill>
                          <w14:schemeClr w14:val="tx1"/>
                        </w14:solidFill>
                      </w14:textFill>
                    </w:rPr>
                    <w:t>报废的显影液、定影液，废片和存档到期的胶片</w:t>
                  </w:r>
                </w:p>
              </w:tc>
              <w:tc>
                <w:tcPr>
                  <w:tcW w:w="4009" w:type="dxa"/>
                  <w:noWrap w:val="0"/>
                  <w:vAlign w:val="center"/>
                </w:tcPr>
                <w:p>
                  <w:pPr>
                    <w:pStyle w:val="53"/>
                    <w:ind w:firstLine="0" w:firstLineChars="0"/>
                    <w:rPr>
                      <w:rFonts w:hint="eastAsia" w:ascii="宋体" w:hAnsi="宋体" w:cs="宋体"/>
                      <w:color w:val="auto"/>
                      <w:kern w:val="0"/>
                    </w:rPr>
                  </w:pPr>
                  <w:r>
                    <w:rPr>
                      <w:rFonts w:hint="eastAsia" w:ascii="宋体" w:hAnsi="宋体" w:eastAsia="宋体" w:cs="宋体"/>
                      <w:color w:val="000000" w:themeColor="text1"/>
                      <w:kern w:val="0"/>
                      <w14:textFill>
                        <w14:solidFill>
                          <w14:schemeClr w14:val="tx1"/>
                        </w14:solidFill>
                      </w14:textFill>
                    </w:rPr>
                    <w:t>交有资质单位处理</w:t>
                  </w:r>
                </w:p>
              </w:tc>
            </w:tr>
          </w:tbl>
          <w:p>
            <w:pPr>
              <w:pStyle w:val="45"/>
              <w:spacing w:before="156" w:after="156"/>
              <w:rPr>
                <w:color w:val="auto"/>
              </w:rPr>
            </w:pPr>
            <w:r>
              <w:rPr>
                <w:rFonts w:hint="eastAsia"/>
                <w:color w:val="auto"/>
              </w:rPr>
              <w:t>9.3事故工况下污染源项分析</w:t>
            </w:r>
          </w:p>
          <w:p>
            <w:pPr>
              <w:pStyle w:val="47"/>
              <w:rPr>
                <w:color w:val="auto"/>
              </w:rPr>
            </w:pPr>
            <w:r>
              <w:rPr>
                <w:rFonts w:hint="eastAsia"/>
                <w:color w:val="auto"/>
              </w:rPr>
              <w:t>本项目发生辐射事故时，事故情况主要包括：</w:t>
            </w:r>
          </w:p>
          <w:p>
            <w:pPr>
              <w:pStyle w:val="47"/>
              <w:rPr>
                <w:color w:val="auto"/>
              </w:rPr>
            </w:pPr>
            <w:r>
              <w:rPr>
                <w:rFonts w:hint="eastAsia"/>
                <w:color w:val="auto"/>
              </w:rPr>
              <w:t>（1）公众在工作状态误入射线装置工作场所，由X射线直接或散射照射对人体造成潜在的照射伤害。</w:t>
            </w:r>
          </w:p>
          <w:p>
            <w:pPr>
              <w:pStyle w:val="47"/>
              <w:rPr>
                <w:color w:val="auto"/>
              </w:rPr>
            </w:pPr>
            <w:r>
              <w:rPr>
                <w:rFonts w:hint="eastAsia"/>
                <w:color w:val="auto"/>
              </w:rPr>
              <w:t>（2）工作人员还未全部撤离探伤室，外面工作人员启动设备，造成工作人员被误照。</w:t>
            </w:r>
          </w:p>
          <w:p>
            <w:pPr>
              <w:pStyle w:val="47"/>
              <w:rPr>
                <w:color w:val="auto"/>
              </w:rPr>
            </w:pPr>
            <w:r>
              <w:rPr>
                <w:rFonts w:hint="eastAsia"/>
                <w:color w:val="auto"/>
              </w:rPr>
              <w:t>（3）维修期间，设备意外出束，造成维修人员受到意外照射。</w:t>
            </w:r>
          </w:p>
          <w:p>
            <w:pPr>
              <w:pStyle w:val="47"/>
              <w:rPr>
                <w:color w:val="auto"/>
              </w:rPr>
            </w:pPr>
            <w:r>
              <w:rPr>
                <w:rFonts w:hint="eastAsia"/>
                <w:color w:val="auto"/>
              </w:rPr>
              <w:t>事故情况下的污染因子主要为探伤机射线管在开机状态发出的 X 射线，当发生意外照射辐射事故时，工作人员应立即切断电源或就近按下急停开关迫使射线装置停止出束，并封锁事故现场上报应急领导小组有关人员，由应急领导小组查找事故原因启动应急预案，安排受照射人员就医检查。</w:t>
            </w:r>
          </w:p>
          <w:p>
            <w:pPr>
              <w:pStyle w:val="47"/>
              <w:rPr>
                <w:color w:val="auto"/>
              </w:rPr>
            </w:pPr>
          </w:p>
          <w:p>
            <w:pPr>
              <w:pStyle w:val="47"/>
              <w:rPr>
                <w:color w:val="auto"/>
              </w:rPr>
            </w:pPr>
          </w:p>
          <w:p>
            <w:pPr>
              <w:pStyle w:val="47"/>
              <w:rPr>
                <w:color w:val="auto"/>
              </w:rPr>
            </w:pPr>
          </w:p>
          <w:p>
            <w:pPr>
              <w:pStyle w:val="47"/>
              <w:rPr>
                <w:color w:val="auto"/>
              </w:rPr>
            </w:pPr>
          </w:p>
        </w:tc>
      </w:tr>
    </w:tbl>
    <w:p>
      <w:pPr>
        <w:pStyle w:val="51"/>
        <w:rPr>
          <w:color w:val="auto"/>
        </w:rPr>
        <w:sectPr>
          <w:pgSz w:w="11906" w:h="16838"/>
          <w:pgMar w:top="1440" w:right="1800" w:bottom="1440" w:left="1800" w:header="851" w:footer="992" w:gutter="0"/>
          <w:cols w:space="720" w:num="1"/>
          <w:docGrid w:type="lines" w:linePitch="312" w:charSpace="0"/>
        </w:sectPr>
      </w:pPr>
    </w:p>
    <w:p>
      <w:pPr>
        <w:pStyle w:val="51"/>
        <w:rPr>
          <w:color w:val="auto"/>
        </w:rPr>
      </w:pPr>
      <w:bookmarkStart w:id="130" w:name="_Toc8735"/>
      <w:r>
        <w:rPr>
          <w:rFonts w:hint="eastAsia"/>
          <w:color w:val="auto"/>
        </w:rPr>
        <w:t>表10辐射安全与防护</w:t>
      </w:r>
      <w:bookmarkEnd w:id="130"/>
    </w:p>
    <w:tbl>
      <w:tblPr>
        <w:tblStyle w:val="23"/>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41" w:hRule="atLeast"/>
        </w:trPr>
        <w:tc>
          <w:tcPr>
            <w:tcW w:w="8296" w:type="dxa"/>
            <w:noWrap w:val="0"/>
            <w:vAlign w:val="top"/>
          </w:tcPr>
          <w:p>
            <w:pPr>
              <w:pStyle w:val="45"/>
              <w:spacing w:before="156" w:after="156"/>
              <w:rPr>
                <w:color w:val="auto"/>
              </w:rPr>
            </w:pPr>
            <w:r>
              <w:rPr>
                <w:rFonts w:hint="eastAsia"/>
                <w:color w:val="auto"/>
              </w:rPr>
              <w:t>10.1项目安全设施</w:t>
            </w:r>
          </w:p>
          <w:p>
            <w:pPr>
              <w:pStyle w:val="42"/>
              <w:rPr>
                <w:color w:val="auto"/>
              </w:rPr>
            </w:pPr>
            <w:r>
              <w:rPr>
                <w:rFonts w:hint="eastAsia"/>
                <w:color w:val="auto"/>
              </w:rPr>
              <w:t>10.1.1工作场所分区</w:t>
            </w:r>
          </w:p>
          <w:p>
            <w:pPr>
              <w:pStyle w:val="47"/>
              <w:rPr>
                <w:color w:val="auto"/>
              </w:rPr>
            </w:pPr>
            <w:r>
              <w:rPr>
                <w:rFonts w:hint="eastAsia"/>
                <w:color w:val="auto"/>
              </w:rPr>
              <w:t>按照《电离辐射防护与辐射源安全基本标准》（GB18871-2002）的要求，辐射工作场所依据管理的需要，可分为控制区、监督区。其划分原则如下：</w:t>
            </w:r>
          </w:p>
          <w:p>
            <w:pPr>
              <w:pStyle w:val="47"/>
              <w:rPr>
                <w:color w:val="auto"/>
              </w:rPr>
            </w:pPr>
            <w:r>
              <w:rPr>
                <w:rFonts w:hint="eastAsia"/>
                <w:color w:val="auto"/>
              </w:rPr>
              <w:t>（1）</w:t>
            </w:r>
            <w:r>
              <w:rPr>
                <w:rFonts w:hint="eastAsia"/>
                <w:color w:val="auto"/>
              </w:rPr>
              <w:tab/>
            </w:r>
            <w:r>
              <w:rPr>
                <w:rFonts w:hint="eastAsia"/>
                <w:color w:val="auto"/>
              </w:rPr>
              <w:t>把需要和可能需要专门防护手段或安全措施的区域定为控制区，以便控制正常工作条件下的正常照射和防止污染扩散，并预防潜在照射或限制潜在照射的范围。</w:t>
            </w:r>
          </w:p>
          <w:p>
            <w:pPr>
              <w:pStyle w:val="47"/>
              <w:rPr>
                <w:color w:val="auto"/>
              </w:rPr>
            </w:pPr>
            <w:r>
              <w:rPr>
                <w:rFonts w:hint="eastAsia"/>
                <w:color w:val="auto"/>
              </w:rPr>
              <w:t>（2）</w:t>
            </w:r>
            <w:r>
              <w:rPr>
                <w:rFonts w:hint="eastAsia"/>
                <w:color w:val="auto"/>
              </w:rPr>
              <w:tab/>
            </w:r>
            <w:r>
              <w:rPr>
                <w:rFonts w:hint="eastAsia"/>
                <w:color w:val="auto"/>
              </w:rPr>
              <w:t>未被定为控制区，在其中通常不需要专门的防护手段或安全措施，但需要经常对职业照射条件进行监督和评价的区域划分为监督区。</w:t>
            </w:r>
          </w:p>
          <w:p>
            <w:pPr>
              <w:pStyle w:val="47"/>
              <w:rPr>
                <w:rFonts w:hint="eastAsia"/>
                <w:color w:val="auto"/>
                <w:lang w:val="en-US" w:eastAsia="zh-CN"/>
              </w:rPr>
            </w:pPr>
            <w:r>
              <w:rPr>
                <w:rFonts w:hint="eastAsia"/>
                <w:color w:val="auto"/>
              </w:rPr>
              <w:t>根据控制区、监督区划分原则以及《工业X射线探伤放射防护要求》（GBZ117-2015），公司对工作场所实行分区管理</w:t>
            </w:r>
            <w:r>
              <w:rPr>
                <w:rFonts w:hint="eastAsia"/>
                <w:color w:val="auto"/>
                <w:lang w:eastAsia="zh-CN"/>
              </w:rPr>
              <w:t>，</w:t>
            </w:r>
            <w:r>
              <w:rPr>
                <w:rFonts w:hint="eastAsia"/>
                <w:color w:val="auto"/>
                <w:lang w:val="en-US" w:eastAsia="zh-CN"/>
              </w:rPr>
              <w:t>各区域划分情况如下：</w:t>
            </w:r>
          </w:p>
          <w:p>
            <w:pPr>
              <w:pStyle w:val="29"/>
              <w:spacing w:before="156"/>
              <w:rPr>
                <w:color w:val="auto"/>
              </w:rPr>
            </w:pPr>
            <w:r>
              <w:rPr>
                <w:sz w:val="21"/>
              </w:rPr>
              <mc:AlternateContent>
                <mc:Choice Requires="wps">
                  <w:drawing>
                    <wp:anchor distT="0" distB="0" distL="114300" distR="114300" simplePos="0" relativeHeight="251687936" behindDoc="0" locked="0" layoutInCell="1" allowOverlap="1">
                      <wp:simplePos x="0" y="0"/>
                      <wp:positionH relativeFrom="column">
                        <wp:posOffset>1241425</wp:posOffset>
                      </wp:positionH>
                      <wp:positionV relativeFrom="paragraph">
                        <wp:posOffset>1986915</wp:posOffset>
                      </wp:positionV>
                      <wp:extent cx="1009015" cy="323850"/>
                      <wp:effectExtent l="12700" t="305435" r="26035" b="18415"/>
                      <wp:wrapNone/>
                      <wp:docPr id="28" name="矩形标注 28"/>
                      <wp:cNvGraphicFramePr/>
                      <a:graphic xmlns:a="http://schemas.openxmlformats.org/drawingml/2006/main">
                        <a:graphicData uri="http://schemas.microsoft.com/office/word/2010/wordprocessingShape">
                          <wps:wsp>
                            <wps:cNvSpPr/>
                            <wps:spPr>
                              <a:xfrm>
                                <a:off x="0" y="0"/>
                                <a:ext cx="1009015" cy="323850"/>
                              </a:xfrm>
                              <a:prstGeom prst="wedgeRectCallout">
                                <a:avLst>
                                  <a:gd name="adj1" fmla="val 19855"/>
                                  <a:gd name="adj2" fmla="val -140392"/>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color w:val="000000" w:themeColor="text1"/>
                                      <w:lang w:val="en-US" w:eastAsia="zh-CN"/>
                                      <w14:textOutline w14:w="9525">
                                        <w14:solidFill>
                                          <w14:srgbClr w14:val="000000"/>
                                        </w14:solidFill>
                                        <w14:round/>
                                      </w14:textOutline>
                                      <w14:textFill>
                                        <w14:solidFill>
                                          <w14:schemeClr w14:val="tx1"/>
                                        </w14:solidFill>
                                      </w14:textFill>
                                    </w:rPr>
                                  </w:pPr>
                                  <w:r>
                                    <w:rPr>
                                      <w:rFonts w:hint="eastAsia"/>
                                      <w:color w:val="000000" w:themeColor="text1"/>
                                      <w:lang w:val="en-US" w:eastAsia="zh-CN"/>
                                      <w14:textOutline w14:w="9525">
                                        <w14:solidFill>
                                          <w14:srgbClr w14:val="000000"/>
                                        </w14:solidFill>
                                        <w14:round/>
                                      </w14:textOutline>
                                      <w14:textFill>
                                        <w14:solidFill>
                                          <w14:schemeClr w14:val="tx1"/>
                                        </w14:solidFill>
                                      </w14:textFill>
                                    </w:rPr>
                                    <w:t>控制室&amp;暗室</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97.75pt;margin-top:156.45pt;height:25.5pt;width:79.45pt;z-index:251687936;v-text-anchor:middle;mso-width-relative:page;mso-height-relative:page;" fillcolor="#D9D9D9 [2732]" filled="t" stroked="t" coordsize="21600,21600" o:gfxdata="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" adj="15089,-19525">
                      <v:fill on="t" focussize="0,0"/>
                      <v:stroke weight="2pt" color="#000000 [3213]" joinstyle="round"/>
                      <v:imagedata o:title=""/>
                      <o:lock v:ext="edit" aspectratio="f"/>
                      <v:textbox>
                        <w:txbxContent>
                          <w:p>
                            <w:pPr>
                              <w:jc w:val="center"/>
                              <w:rPr>
                                <w:rFonts w:hint="default" w:eastAsia="宋体"/>
                                <w:color w:val="000000" w:themeColor="text1"/>
                                <w:lang w:val="en-US" w:eastAsia="zh-CN"/>
                                <w14:textOutline w14:w="9525">
                                  <w14:solidFill>
                                    <w14:srgbClr w14:val="000000"/>
                                  </w14:solidFill>
                                  <w14:round/>
                                </w14:textOutline>
                                <w14:textFill>
                                  <w14:solidFill>
                                    <w14:schemeClr w14:val="tx1"/>
                                  </w14:solidFill>
                                </w14:textFill>
                              </w:rPr>
                            </w:pPr>
                            <w:r>
                              <w:rPr>
                                <w:rFonts w:hint="eastAsia"/>
                                <w:color w:val="000000" w:themeColor="text1"/>
                                <w:lang w:val="en-US" w:eastAsia="zh-CN"/>
                                <w14:textOutline w14:w="9525">
                                  <w14:solidFill>
                                    <w14:srgbClr w14:val="000000"/>
                                  </w14:solidFill>
                                  <w14:round/>
                                </w14:textOutline>
                                <w14:textFill>
                                  <w14:solidFill>
                                    <w14:schemeClr w14:val="tx1"/>
                                  </w14:solidFill>
                                </w14:textFill>
                              </w:rPr>
                              <w:t>控制室&amp;暗室</w:t>
                            </w:r>
                          </w:p>
                        </w:txbxContent>
                      </v:textbox>
                    </v:shape>
                  </w:pict>
                </mc:Fallback>
              </mc:AlternateContent>
            </w:r>
            <w:r>
              <w:rPr>
                <w:sz w:val="21"/>
              </w:rPr>
              <mc:AlternateContent>
                <mc:Choice Requires="wps">
                  <w:drawing>
                    <wp:anchor distT="0" distB="0" distL="114300" distR="114300" simplePos="0" relativeHeight="251686912" behindDoc="0" locked="0" layoutInCell="1" allowOverlap="1">
                      <wp:simplePos x="0" y="0"/>
                      <wp:positionH relativeFrom="column">
                        <wp:posOffset>1489075</wp:posOffset>
                      </wp:positionH>
                      <wp:positionV relativeFrom="paragraph">
                        <wp:posOffset>529590</wp:posOffset>
                      </wp:positionV>
                      <wp:extent cx="647065" cy="323850"/>
                      <wp:effectExtent l="12700" t="12700" r="26035" b="311150"/>
                      <wp:wrapNone/>
                      <wp:docPr id="27" name="矩形标注 27"/>
                      <wp:cNvGraphicFramePr/>
                      <a:graphic xmlns:a="http://schemas.openxmlformats.org/drawingml/2006/main">
                        <a:graphicData uri="http://schemas.microsoft.com/office/word/2010/wordprocessingShape">
                          <wps:wsp>
                            <wps:cNvSpPr/>
                            <wps:spPr>
                              <a:xfrm>
                                <a:off x="2108200" y="7100570"/>
                                <a:ext cx="647065" cy="323850"/>
                              </a:xfrm>
                              <a:prstGeom prst="wedgeRectCallout">
                                <a:avLst>
                                  <a:gd name="adj1" fmla="val -12904"/>
                                  <a:gd name="adj2" fmla="val 139019"/>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color w:val="FFFFFF" w:themeColor="background1"/>
                                      <w:lang w:val="en-US" w:eastAsia="zh-CN"/>
                                      <w14:textOutline w14:w="9525">
                                        <w14:solidFill>
                                          <w14:srgbClr w14:val="FFFFFF"/>
                                        </w14:solidFill>
                                        <w14:round/>
                                      </w14:textOutline>
                                      <w14:textFill>
                                        <w14:solidFill>
                                          <w14:schemeClr w14:val="bg1"/>
                                        </w14:solidFill>
                                      </w14:textFill>
                                    </w:rPr>
                                  </w:pPr>
                                  <w:r>
                                    <w:rPr>
                                      <w:rFonts w:hint="eastAsia"/>
                                      <w:color w:val="FFFFFF" w:themeColor="background1"/>
                                      <w:lang w:val="en-US" w:eastAsia="zh-CN"/>
                                      <w14:textOutline w14:w="9525">
                                        <w14:solidFill>
                                          <w14:srgbClr w14:val="FFFFFF"/>
                                        </w14:solidFill>
                                        <w14:round/>
                                      </w14:textOutline>
                                      <w14:textFill>
                                        <w14:solidFill>
                                          <w14:schemeClr w14:val="bg1"/>
                                        </w14:solidFill>
                                      </w14:textFill>
                                    </w:rPr>
                                    <w:t>探伤室</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117.25pt;margin-top:41.7pt;height:25.5pt;width:50.95pt;z-index:251686912;v-text-anchor:middle;mso-width-relative:page;mso-height-relative:page;" fillcolor="#D9D9D9 [2732]" filled="t" stroked="t" coordsize="21600,21600" o:gfxdata="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" adj="8013,40828">
                      <v:fill on="t" focussize="0,0"/>
                      <v:stroke weight="2pt" color="#000000 [3213]" joinstyle="round"/>
                      <v:imagedata o:title=""/>
                      <o:lock v:ext="edit" aspectratio="f"/>
                      <v:textbox>
                        <w:txbxContent>
                          <w:p>
                            <w:pPr>
                              <w:jc w:val="center"/>
                              <w:rPr>
                                <w:rFonts w:hint="eastAsia" w:eastAsia="宋体"/>
                                <w:color w:val="FFFFFF" w:themeColor="background1"/>
                                <w:lang w:val="en-US" w:eastAsia="zh-CN"/>
                                <w14:textOutline w14:w="9525">
                                  <w14:solidFill>
                                    <w14:srgbClr w14:val="FFFFFF"/>
                                  </w14:solidFill>
                                  <w14:round/>
                                </w14:textOutline>
                                <w14:textFill>
                                  <w14:solidFill>
                                    <w14:schemeClr w14:val="bg1"/>
                                  </w14:solidFill>
                                </w14:textFill>
                              </w:rPr>
                            </w:pPr>
                            <w:r>
                              <w:rPr>
                                <w:rFonts w:hint="eastAsia"/>
                                <w:color w:val="FFFFFF" w:themeColor="background1"/>
                                <w:lang w:val="en-US" w:eastAsia="zh-CN"/>
                                <w14:textOutline w14:w="9525">
                                  <w14:solidFill>
                                    <w14:srgbClr w14:val="FFFFFF"/>
                                  </w14:solidFill>
                                  <w14:round/>
                                </w14:textOutline>
                                <w14:textFill>
                                  <w14:solidFill>
                                    <w14:schemeClr w14:val="bg1"/>
                                  </w14:solidFill>
                                </w14:textFill>
                              </w:rPr>
                              <w:t>探伤室</w:t>
                            </w:r>
                          </w:p>
                        </w:txbxContent>
                      </v:textbox>
                    </v:shape>
                  </w:pict>
                </mc:Fallback>
              </mc:AlternateContent>
            </w:r>
            <w:r>
              <w:drawing>
                <wp:inline distT="0" distB="0" distL="114300" distR="114300">
                  <wp:extent cx="5125720" cy="4045585"/>
                  <wp:effectExtent l="9525" t="9525" r="27305" b="21590"/>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pic:cNvPicPr>
                            <a:picLocks noChangeAspect="1"/>
                          </pic:cNvPicPr>
                        </pic:nvPicPr>
                        <pic:blipFill>
                          <a:blip r:embed="rId12"/>
                          <a:stretch>
                            <a:fillRect/>
                          </a:stretch>
                        </pic:blipFill>
                        <pic:spPr>
                          <a:xfrm>
                            <a:off x="0" y="0"/>
                            <a:ext cx="5125720" cy="4045585"/>
                          </a:xfrm>
                          <a:prstGeom prst="rect">
                            <a:avLst/>
                          </a:prstGeom>
                          <a:noFill/>
                          <a:ln>
                            <a:solidFill>
                              <a:srgbClr val="002060"/>
                            </a:solidFill>
                          </a:ln>
                        </pic:spPr>
                      </pic:pic>
                    </a:graphicData>
                  </a:graphic>
                </wp:inline>
              </w:drawing>
            </w:r>
            <w:r>
              <w:rPr>
                <w:color w:val="auto"/>
                <w:sz w:val="21"/>
              </w:rPr>
              <mc:AlternateContent>
                <mc:Choice Requires="wps">
                  <w:drawing>
                    <wp:anchor distT="0" distB="0" distL="114300" distR="114300" simplePos="0" relativeHeight="251683840" behindDoc="0" locked="0" layoutInCell="1" allowOverlap="1">
                      <wp:simplePos x="0" y="0"/>
                      <wp:positionH relativeFrom="column">
                        <wp:posOffset>1236345</wp:posOffset>
                      </wp:positionH>
                      <wp:positionV relativeFrom="paragraph">
                        <wp:posOffset>1090930</wp:posOffset>
                      </wp:positionV>
                      <wp:extent cx="1210945" cy="646430"/>
                      <wp:effectExtent l="75565" t="158115" r="85090" b="167005"/>
                      <wp:wrapNone/>
                      <wp:docPr id="22" name="矩形 22"/>
                      <wp:cNvGraphicFramePr/>
                      <a:graphic xmlns:a="http://schemas.openxmlformats.org/drawingml/2006/main">
                        <a:graphicData uri="http://schemas.microsoft.com/office/word/2010/wordprocessingShape">
                          <wps:wsp>
                            <wps:cNvSpPr/>
                            <wps:spPr>
                              <a:xfrm rot="900000">
                                <a:off x="0" y="0"/>
                                <a:ext cx="1210945" cy="646430"/>
                              </a:xfrm>
                              <a:prstGeom prst="rect">
                                <a:avLst/>
                              </a:prstGeom>
                              <a:solidFill>
                                <a:srgbClr val="FFFF00"/>
                              </a:solidFill>
                              <a:ln>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7.35pt;margin-top:85.9pt;height:50.9pt;width:95.35pt;rotation:983040f;z-index:251683840;v-text-anchor:middle;mso-width-relative:page;mso-height-relative:page;" fillcolor="#FFFF00" filled="t" stroked="t" coordsize="21600,21600" o:gfxdata="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H5001fZAAAACwEAAA8AAAAAAAAAAQAgAAAAIgAAAGRycy9k&#10;b3ducmV2LnhtbFBLAQIUABQAAAAIAIdO4kBaA6JxcwIAAPkEAAAOAAAAAAAAAAEAIAAAACgBAABk&#10;cnMvZTJvRG9jLnhtbFBLBQYAAAAABgAGAFkBAAANBgAAAAA=&#10;">
                      <v:fill on="t" focussize="0,0"/>
                      <v:stroke weight="2pt" color="#000000 [3213]" joinstyle="round" dashstyle="3 1"/>
                      <v:imagedata o:title=""/>
                      <o:lock v:ext="edit" aspectratio="f"/>
                      <v:textbox>
                        <w:txbxContent>
                          <w:p>
                            <w:pPr>
                              <w:jc w:val="center"/>
                            </w:pPr>
                          </w:p>
                        </w:txbxContent>
                      </v:textbox>
                    </v:rect>
                  </w:pict>
                </mc:Fallback>
              </mc:AlternateContent>
            </w:r>
            <w:r>
              <w:rPr>
                <w:sz w:val="21"/>
              </w:rPr>
              <mc:AlternateContent>
                <mc:Choice Requires="wps">
                  <w:drawing>
                    <wp:anchor distT="0" distB="0" distL="114300" distR="114300" simplePos="0" relativeHeight="251685888" behindDoc="0" locked="0" layoutInCell="1" allowOverlap="1">
                      <wp:simplePos x="0" y="0"/>
                      <wp:positionH relativeFrom="column">
                        <wp:posOffset>1842135</wp:posOffset>
                      </wp:positionH>
                      <wp:positionV relativeFrom="paragraph">
                        <wp:posOffset>1620520</wp:posOffset>
                      </wp:positionV>
                      <wp:extent cx="356870" cy="168910"/>
                      <wp:effectExtent l="28575" t="55880" r="33655" b="60960"/>
                      <wp:wrapNone/>
                      <wp:docPr id="24" name="矩形 24"/>
                      <wp:cNvGraphicFramePr/>
                      <a:graphic xmlns:a="http://schemas.openxmlformats.org/drawingml/2006/main">
                        <a:graphicData uri="http://schemas.microsoft.com/office/word/2010/wordprocessingShape">
                          <wps:wsp>
                            <wps:cNvSpPr/>
                            <wps:spPr>
                              <a:xfrm rot="900000">
                                <a:off x="0" y="0"/>
                                <a:ext cx="356870" cy="168910"/>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5.05pt;margin-top:127.6pt;height:13.3pt;width:28.1pt;rotation:983040f;z-index:251685888;v-text-anchor:middle;mso-width-relative:page;mso-height-relative:page;" fillcolor="#FFFF00" filled="t" stroked="t" coordsize="21600,21600" o:gfxdata="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qq5wz9gAAAALAQAADwAAAAAAAAABACAAAAAiAAAAZHJzL2Rvd25yZXYueG1s&#10;UEsBAhQAFAAAAAgAh07iQGladTBqAgAA6wQAAA4AAAAAAAAAAQAgAAAAJwEAAGRycy9lMm9Eb2Mu&#10;eG1sUEsFBgAAAAAGAAYAWQEAAAMGAAAAAA==&#10;">
                      <v:fill on="t" focussize="0,0"/>
                      <v:stroke weight="2pt" color="#000000 [3213]" joinstyle="round"/>
                      <v:imagedata o:title=""/>
                      <o:lock v:ext="edit" aspectratio="f"/>
                    </v:rect>
                  </w:pict>
                </mc:Fallback>
              </mc:AlternateContent>
            </w:r>
            <w:r>
              <w:rPr>
                <w:sz w:val="21"/>
              </w:rPr>
              <mc:AlternateContent>
                <mc:Choice Requires="wps">
                  <w:drawing>
                    <wp:anchor distT="0" distB="0" distL="114300" distR="114300" simplePos="0" relativeHeight="251684864" behindDoc="0" locked="0" layoutInCell="1" allowOverlap="1">
                      <wp:simplePos x="0" y="0"/>
                      <wp:positionH relativeFrom="column">
                        <wp:posOffset>1409700</wp:posOffset>
                      </wp:positionH>
                      <wp:positionV relativeFrom="paragraph">
                        <wp:posOffset>1143000</wp:posOffset>
                      </wp:positionV>
                      <wp:extent cx="876300" cy="409575"/>
                      <wp:effectExtent l="50800" t="119380" r="63500" b="118745"/>
                      <wp:wrapNone/>
                      <wp:docPr id="21" name="矩形 21"/>
                      <wp:cNvGraphicFramePr/>
                      <a:graphic xmlns:a="http://schemas.openxmlformats.org/drawingml/2006/main">
                        <a:graphicData uri="http://schemas.microsoft.com/office/word/2010/wordprocessingShape">
                          <wps:wsp>
                            <wps:cNvSpPr/>
                            <wps:spPr>
                              <a:xfrm rot="900000">
                                <a:off x="2565400" y="5909945"/>
                                <a:ext cx="876300" cy="409575"/>
                              </a:xfrm>
                              <a:prstGeom prst="rect">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1pt;margin-top:90pt;height:32.25pt;width:69pt;rotation:983040f;z-index:251684864;v-text-anchor:middle;mso-width-relative:page;mso-height-relative:page;" fillcolor="#FF0000" filled="t" stroked="t" coordsize="21600,21600" o:gfxdata="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tjA4fNcAAAALAQAADwAAAAAAAAABACAAAAAiAAAA&#10;ZHJzL2Rvd25yZXYueG1sUEsBAhQAFAAAAAgAh07iQNrHcf56AgAA9wQAAA4AAAAAAAAAAQAgAAAA&#10;JgEAAGRycy9lMm9Eb2MueG1sUEsFBgAAAAAGAAYAWQEAABIGAAAAAA==&#10;">
                      <v:fill on="t" focussize="0,0"/>
                      <v:stroke weight="2pt" color="#000000 [3213]" joinstyle="round"/>
                      <v:imagedata o:title=""/>
                      <o:lock v:ext="edit" aspectratio="f"/>
                    </v:rect>
                  </w:pict>
                </mc:Fallback>
              </mc:AlternateContent>
            </w:r>
            <w:r>
              <w:rPr>
                <w:color w:val="auto"/>
                <w:sz w:val="21"/>
              </w:rPr>
              <mc:AlternateContent>
                <mc:Choice Requires="wps">
                  <w:drawing>
                    <wp:anchor distT="0" distB="0" distL="114300" distR="114300" simplePos="0" relativeHeight="251681792" behindDoc="0" locked="0" layoutInCell="1" allowOverlap="1">
                      <wp:simplePos x="0" y="0"/>
                      <wp:positionH relativeFrom="column">
                        <wp:posOffset>709930</wp:posOffset>
                      </wp:positionH>
                      <wp:positionV relativeFrom="paragraph">
                        <wp:posOffset>3923030</wp:posOffset>
                      </wp:positionV>
                      <wp:extent cx="285750" cy="118745"/>
                      <wp:effectExtent l="12700" t="12700" r="25400" b="20955"/>
                      <wp:wrapNone/>
                      <wp:docPr id="40" name="矩形 40"/>
                      <wp:cNvGraphicFramePr/>
                      <a:graphic xmlns:a="http://schemas.openxmlformats.org/drawingml/2006/main">
                        <a:graphicData uri="http://schemas.microsoft.com/office/word/2010/wordprocessingShape">
                          <wps:wsp>
                            <wps:cNvSpPr/>
                            <wps:spPr>
                              <a:xfrm>
                                <a:off x="0" y="0"/>
                                <a:ext cx="285750" cy="118745"/>
                              </a:xfrm>
                              <a:prstGeom prst="rect">
                                <a:avLst/>
                              </a:prstGeom>
                              <a:solidFill>
                                <a:srgbClr val="FFFF00"/>
                              </a:solidFill>
                              <a:ln>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5.9pt;margin-top:308.9pt;height:9.35pt;width:22.5pt;z-index:251681792;v-text-anchor:middle;mso-width-relative:page;mso-height-relative:page;" fillcolor="#FFFF00" filled="t" stroked="t" coordsize="21600,21600" o:gfxdata="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Bh57o62gAAAAsBAAAPAAAAAAAAAAEAIAAAACIAAABkcnMvZG93bnJl&#10;di54bWxQSwECFAAUAAAACACHTuJA3wVHmG0CAADrBAAADgAAAAAAAAABACAAAAApAQAAZHJzL2Uy&#10;b0RvYy54bWxQSwUGAAAAAAYABgBZAQAACAYAAAAA&#10;">
                      <v:fill on="t" focussize="0,0"/>
                      <v:stroke weight="2pt" color="#000000 [3213]" joinstyle="round" dashstyle="3 1"/>
                      <v:imagedata o:title=""/>
                      <o:lock v:ext="edit" aspectratio="f"/>
                      <v:textbox>
                        <w:txbxContent>
                          <w:p>
                            <w:pPr>
                              <w:jc w:val="center"/>
                            </w:pPr>
                          </w:p>
                        </w:txbxContent>
                      </v:textbox>
                    </v:rect>
                  </w:pict>
                </mc:Fallback>
              </mc:AlternateContent>
            </w:r>
            <w:r>
              <w:rPr>
                <w:color w:val="auto"/>
                <w:sz w:val="21"/>
              </w:rPr>
              <mc:AlternateContent>
                <mc:Choice Requires="wps">
                  <w:drawing>
                    <wp:anchor distT="0" distB="0" distL="114300" distR="114300" simplePos="0" relativeHeight="251680768" behindDoc="0" locked="0" layoutInCell="1" allowOverlap="1">
                      <wp:simplePos x="0" y="0"/>
                      <wp:positionH relativeFrom="column">
                        <wp:posOffset>709295</wp:posOffset>
                      </wp:positionH>
                      <wp:positionV relativeFrom="paragraph">
                        <wp:posOffset>3599180</wp:posOffset>
                      </wp:positionV>
                      <wp:extent cx="285750" cy="118745"/>
                      <wp:effectExtent l="12700" t="12700" r="25400" b="20955"/>
                      <wp:wrapNone/>
                      <wp:docPr id="39" name="矩形 39"/>
                      <wp:cNvGraphicFramePr/>
                      <a:graphic xmlns:a="http://schemas.openxmlformats.org/drawingml/2006/main">
                        <a:graphicData uri="http://schemas.microsoft.com/office/word/2010/wordprocessingShape">
                          <wps:wsp>
                            <wps:cNvSpPr/>
                            <wps:spPr>
                              <a:xfrm>
                                <a:off x="2316480" y="8813800"/>
                                <a:ext cx="285750" cy="118745"/>
                              </a:xfrm>
                              <a:prstGeom prst="rect">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5.85pt;margin-top:283.4pt;height:9.35pt;width:22.5pt;z-index:251680768;v-text-anchor:middle;mso-width-relative:page;mso-height-relative:page;" fillcolor="#FF0000" filled="t" stroked="t" coordsize="21600,21600" o:gfxdata="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4GaM1tgAAAALAQAADwAAAAAAAAABACAAAAAiAAAAZHJzL2Rvd25y&#10;ZXYueG1sUEsBAhQAFAAAAAgAh07iQKh9pi9wAgAA6gQAAA4AAAAAAAAAAQAgAAAAJwEAAGRycy9l&#10;Mm9Eb2MueG1sUEsFBgAAAAAGAAYAWQEAAAkGAAAAAA==&#10;">
                      <v:fill on="t" focussize="0,0"/>
                      <v:stroke weight="2pt" color="#000000 [3213]" joinstyle="round"/>
                      <v:imagedata o:title=""/>
                      <o:lock v:ext="edit" aspectratio="f"/>
                    </v:rect>
                  </w:pict>
                </mc:Fallback>
              </mc:AlternateContent>
            </w:r>
            <w:r>
              <w:rPr>
                <w:color w:val="auto"/>
                <w:sz w:val="21"/>
              </w:rPr>
              <mc:AlternateContent>
                <mc:Choice Requires="wps">
                  <w:drawing>
                    <wp:anchor distT="0" distB="0" distL="114300" distR="114300" simplePos="0" relativeHeight="251679744" behindDoc="0" locked="0" layoutInCell="1" allowOverlap="1">
                      <wp:simplePos x="0" y="0"/>
                      <wp:positionH relativeFrom="column">
                        <wp:posOffset>17145</wp:posOffset>
                      </wp:positionH>
                      <wp:positionV relativeFrom="paragraph">
                        <wp:posOffset>3462655</wp:posOffset>
                      </wp:positionV>
                      <wp:extent cx="1047750" cy="737235"/>
                      <wp:effectExtent l="4445" t="4445" r="14605" b="20320"/>
                      <wp:wrapNone/>
                      <wp:docPr id="38" name="文本框 38"/>
                      <wp:cNvGraphicFramePr/>
                      <a:graphic xmlns:a="http://schemas.openxmlformats.org/drawingml/2006/main">
                        <a:graphicData uri="http://schemas.microsoft.com/office/word/2010/wordprocessingShape">
                          <wps:wsp>
                            <wps:cNvSpPr txBox="1"/>
                            <wps:spPr>
                              <a:xfrm>
                                <a:off x="1923415" y="8277860"/>
                                <a:ext cx="1047750" cy="7372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bidi w:val="0"/>
                                    <w:adjustRightInd/>
                                    <w:snapToGrid/>
                                    <w:spacing w:line="360" w:lineRule="auto"/>
                                    <w:textAlignment w:val="auto"/>
                                    <w:rPr>
                                      <w:rFonts w:hint="eastAsia"/>
                                      <w:sz w:val="24"/>
                                      <w:szCs w:val="24"/>
                                      <w:lang w:val="en-US" w:eastAsia="zh-CN"/>
                                    </w:rPr>
                                  </w:pPr>
                                  <w:r>
                                    <w:rPr>
                                      <w:rFonts w:hint="eastAsia"/>
                                      <w:sz w:val="24"/>
                                      <w:szCs w:val="24"/>
                                      <w:lang w:val="en-US" w:eastAsia="zh-CN"/>
                                    </w:rPr>
                                    <w:t>控制区：</w:t>
                                  </w:r>
                                </w:p>
                                <w:p>
                                  <w:pPr>
                                    <w:pStyle w:val="10"/>
                                    <w:keepNext w:val="0"/>
                                    <w:keepLines w:val="0"/>
                                    <w:pageBreakBefore w:val="0"/>
                                    <w:widowControl w:val="0"/>
                                    <w:kinsoku/>
                                    <w:wordWrap/>
                                    <w:overflowPunct/>
                                    <w:topLinePunct w:val="0"/>
                                    <w:bidi w:val="0"/>
                                    <w:adjustRightInd/>
                                    <w:snapToGrid/>
                                    <w:spacing w:line="360" w:lineRule="auto"/>
                                    <w:ind w:left="0" w:leftChars="0" w:firstLine="0" w:firstLineChars="0"/>
                                    <w:textAlignment w:val="auto"/>
                                    <w:rPr>
                                      <w:rFonts w:hint="default"/>
                                      <w:sz w:val="24"/>
                                      <w:szCs w:val="24"/>
                                      <w:lang w:val="en-US" w:eastAsia="zh-CN"/>
                                    </w:rPr>
                                  </w:pPr>
                                  <w:r>
                                    <w:rPr>
                                      <w:rFonts w:hint="eastAsia"/>
                                      <w:sz w:val="24"/>
                                      <w:szCs w:val="24"/>
                                      <w:lang w:val="en-US" w:eastAsia="zh-CN"/>
                                    </w:rPr>
                                    <w:t>监督区：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5pt;margin-top:272.65pt;height:58.05pt;width:82.5pt;z-index:251679744;mso-width-relative:page;mso-height-relative:page;" fillcolor="#FFFFFF [3201]" filled="t" stroked="t" coordsize="21600,21600" o:gfxdata="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OpRvV9YAAAAJAQAADwAAAAAAAAABACAAAAAiAAAAZHJzL2Rvd25yZXYueG1sUEsBAhQAFAAA&#10;AAgAh07iQFDrXKljAgAAxQQAAA4AAAAAAAAAAQAgAAAAJQEAAGRycy9lMm9Eb2MueG1sUEsFBgAA&#10;AAAGAAYAWQEAAPoFA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bidi w:val="0"/>
                              <w:adjustRightInd/>
                              <w:snapToGrid/>
                              <w:spacing w:line="360" w:lineRule="auto"/>
                              <w:textAlignment w:val="auto"/>
                              <w:rPr>
                                <w:rFonts w:hint="eastAsia"/>
                                <w:sz w:val="24"/>
                                <w:szCs w:val="24"/>
                                <w:lang w:val="en-US" w:eastAsia="zh-CN"/>
                              </w:rPr>
                            </w:pPr>
                            <w:r>
                              <w:rPr>
                                <w:rFonts w:hint="eastAsia"/>
                                <w:sz w:val="24"/>
                                <w:szCs w:val="24"/>
                                <w:lang w:val="en-US" w:eastAsia="zh-CN"/>
                              </w:rPr>
                              <w:t>控制区：</w:t>
                            </w:r>
                          </w:p>
                          <w:p>
                            <w:pPr>
                              <w:pStyle w:val="10"/>
                              <w:keepNext w:val="0"/>
                              <w:keepLines w:val="0"/>
                              <w:pageBreakBefore w:val="0"/>
                              <w:widowControl w:val="0"/>
                              <w:kinsoku/>
                              <w:wordWrap/>
                              <w:overflowPunct/>
                              <w:topLinePunct w:val="0"/>
                              <w:bidi w:val="0"/>
                              <w:adjustRightInd/>
                              <w:snapToGrid/>
                              <w:spacing w:line="360" w:lineRule="auto"/>
                              <w:ind w:left="0" w:leftChars="0" w:firstLine="0" w:firstLineChars="0"/>
                              <w:textAlignment w:val="auto"/>
                              <w:rPr>
                                <w:rFonts w:hint="default"/>
                                <w:sz w:val="24"/>
                                <w:szCs w:val="24"/>
                                <w:lang w:val="en-US" w:eastAsia="zh-CN"/>
                              </w:rPr>
                            </w:pPr>
                            <w:r>
                              <w:rPr>
                                <w:rFonts w:hint="eastAsia"/>
                                <w:sz w:val="24"/>
                                <w:szCs w:val="24"/>
                                <w:lang w:val="en-US" w:eastAsia="zh-CN"/>
                              </w:rPr>
                              <w:t>监督区：</w:t>
                            </w:r>
                          </w:p>
                        </w:txbxContent>
                      </v:textbox>
                    </v:shape>
                  </w:pict>
                </mc:Fallback>
              </mc:AlternateContent>
            </w:r>
            <w:r>
              <w:rPr>
                <w:rFonts w:hint="eastAsia"/>
                <w:color w:val="auto"/>
                <w:lang w:val="en-US" w:eastAsia="zh-CN"/>
              </w:rPr>
              <w:t>图</w:t>
            </w:r>
            <w:r>
              <w:rPr>
                <w:rFonts w:hint="eastAsia"/>
                <w:color w:val="auto"/>
              </w:rPr>
              <w:t>10-1</w:t>
            </w:r>
            <w:r>
              <w:rPr>
                <w:rFonts w:hint="eastAsia"/>
                <w:color w:val="auto"/>
                <w:lang w:val="en-US" w:eastAsia="zh-CN"/>
              </w:rPr>
              <w:t xml:space="preserve"> </w:t>
            </w:r>
            <w:r>
              <w:rPr>
                <w:rFonts w:hint="eastAsia"/>
                <w:color w:val="auto"/>
              </w:rPr>
              <w:t>分区示意图</w:t>
            </w:r>
          </w:p>
          <w:p>
            <w:pPr>
              <w:pStyle w:val="47"/>
              <w:rPr>
                <w:rFonts w:hint="eastAsia"/>
                <w:color w:val="auto"/>
                <w:u w:val="single"/>
              </w:rPr>
            </w:pPr>
            <w:r>
              <w:rPr>
                <w:rFonts w:hint="eastAsia"/>
                <w:color w:val="auto"/>
                <w:u w:val="single"/>
              </w:rPr>
              <w:t>控制区：将探伤室墙壁围成的内部区域划分为控制区。当处于探伤状态时，探伤室内不得滞留人员，控制区入口处设置醒目的电离辐射警示标识。</w:t>
            </w:r>
          </w:p>
          <w:p>
            <w:pPr>
              <w:pStyle w:val="47"/>
              <w:rPr>
                <w:rFonts w:hint="eastAsia"/>
                <w:color w:val="auto"/>
                <w:u w:val="single"/>
              </w:rPr>
            </w:pPr>
            <w:r>
              <w:rPr>
                <w:rFonts w:hint="eastAsia"/>
                <w:color w:val="auto"/>
                <w:u w:val="single"/>
              </w:rPr>
              <w:t>监督区：将控制室以及探伤室东、南、</w:t>
            </w:r>
            <w:r>
              <w:rPr>
                <w:rFonts w:hint="eastAsia"/>
                <w:color w:val="auto"/>
                <w:u w:val="single"/>
                <w:lang w:val="en-US" w:eastAsia="zh-CN"/>
              </w:rPr>
              <w:t>西</w:t>
            </w:r>
            <w:r>
              <w:rPr>
                <w:rFonts w:hint="eastAsia"/>
                <w:color w:val="auto"/>
                <w:u w:val="single"/>
              </w:rPr>
              <w:t>侧墙体外部3m、</w:t>
            </w:r>
            <w:r>
              <w:rPr>
                <w:rFonts w:hint="eastAsia"/>
                <w:color w:val="auto"/>
                <w:u w:val="single"/>
                <w:lang w:val="en-US" w:eastAsia="zh-CN"/>
              </w:rPr>
              <w:t>北</w:t>
            </w:r>
            <w:r>
              <w:rPr>
                <w:rFonts w:hint="eastAsia"/>
                <w:color w:val="auto"/>
                <w:u w:val="single"/>
              </w:rPr>
              <w:t>侧墙体外</w:t>
            </w:r>
            <w:r>
              <w:rPr>
                <w:rFonts w:hint="eastAsia"/>
                <w:color w:val="auto"/>
                <w:u w:val="single"/>
                <w:lang w:val="en-US" w:eastAsia="zh-CN"/>
              </w:rPr>
              <w:t>1</w:t>
            </w:r>
            <w:r>
              <w:rPr>
                <w:rFonts w:hint="eastAsia"/>
                <w:color w:val="auto"/>
                <w:u w:val="single"/>
              </w:rPr>
              <w:t>m范围内的区域划分为监督区，在该区内需要定期对职业照射状况进行检查，根据周边情况设置地标或围栏以明确监督区。</w:t>
            </w:r>
          </w:p>
          <w:p>
            <w:pPr>
              <w:pStyle w:val="47"/>
              <w:rPr>
                <w:rFonts w:hint="default" w:ascii="Times New Roman" w:hAnsi="Times New Roman" w:eastAsia="宋体" w:cs="Times New Roman"/>
                <w:color w:val="auto"/>
                <w:u w:val="single"/>
                <w:lang w:val="en-US" w:eastAsia="zh-CN"/>
              </w:rPr>
            </w:pPr>
            <w:r>
              <w:rPr>
                <w:rFonts w:hint="default" w:ascii="Times New Roman" w:hAnsi="Times New Roman" w:cs="Times New Roman"/>
                <w:color w:val="auto"/>
                <w:u w:val="single"/>
                <w:lang w:val="en-US" w:eastAsia="zh-CN"/>
              </w:rPr>
              <w:t>说明：根据</w:t>
            </w:r>
            <w:r>
              <w:rPr>
                <w:rFonts w:hint="default" w:ascii="Times New Roman" w:hAnsi="Times New Roman" w:cs="Times New Roman"/>
                <w:color w:val="auto"/>
              </w:rPr>
              <w:t>《工业X射线探伤放射防护要求》（GBZ117-2015）</w:t>
            </w:r>
            <w:r>
              <w:rPr>
                <w:rFonts w:hint="default" w:ascii="Times New Roman" w:hAnsi="Times New Roman" w:cs="Times New Roman"/>
                <w:color w:val="auto"/>
                <w:lang w:val="en-US" w:eastAsia="zh-CN"/>
              </w:rPr>
              <w:t>探伤室探伤</w:t>
            </w:r>
            <w:r>
              <w:rPr>
                <w:rFonts w:hint="default" w:ascii="Times New Roman" w:hAnsi="Times New Roman" w:cs="Times New Roman"/>
                <w:color w:val="auto"/>
                <w:u w:val="single"/>
                <w:lang w:val="en-US" w:eastAsia="zh-CN"/>
              </w:rPr>
              <w:t>一般将探伤室墙壁围成的内部区域划为控制区,与墙壁外部相邻区域划为监督区。本项目探伤室</w:t>
            </w:r>
            <w:r>
              <w:rPr>
                <w:rFonts w:hint="eastAsia" w:cs="Times New Roman"/>
                <w:color w:val="auto"/>
                <w:u w:val="single"/>
                <w:lang w:val="en-US" w:eastAsia="zh-CN"/>
              </w:rPr>
              <w:t>北</w:t>
            </w:r>
            <w:r>
              <w:rPr>
                <w:rFonts w:hint="default" w:ascii="Times New Roman" w:hAnsi="Times New Roman" w:cs="Times New Roman"/>
                <w:color w:val="auto"/>
                <w:u w:val="single"/>
                <w:lang w:val="en-US" w:eastAsia="zh-CN"/>
              </w:rPr>
              <w:t>墙</w:t>
            </w:r>
            <w:r>
              <w:rPr>
                <w:rFonts w:hint="eastAsia" w:cs="Times New Roman"/>
                <w:color w:val="auto"/>
                <w:u w:val="single"/>
                <w:lang w:val="en-US" w:eastAsia="zh-CN"/>
              </w:rPr>
              <w:t>1</w:t>
            </w:r>
            <w:r>
              <w:rPr>
                <w:rFonts w:hint="default" w:ascii="Times New Roman" w:hAnsi="Times New Roman" w:cs="Times New Roman"/>
                <w:color w:val="auto"/>
                <w:u w:val="single"/>
                <w:lang w:val="en-US" w:eastAsia="zh-CN"/>
              </w:rPr>
              <w:t>m处为</w:t>
            </w:r>
            <w:r>
              <w:rPr>
                <w:rFonts w:hint="eastAsia" w:cs="Times New Roman"/>
                <w:color w:val="auto"/>
                <w:u w:val="single"/>
                <w:lang w:val="en-US" w:eastAsia="zh-CN"/>
              </w:rPr>
              <w:t>成套设备</w:t>
            </w:r>
            <w:r>
              <w:rPr>
                <w:rFonts w:hint="default" w:ascii="Times New Roman" w:hAnsi="Times New Roman" w:cs="Times New Roman"/>
                <w:color w:val="auto"/>
                <w:u w:val="single"/>
                <w:lang w:val="en-US" w:eastAsia="zh-CN"/>
              </w:rPr>
              <w:t>生产车间</w:t>
            </w:r>
            <w:r>
              <w:rPr>
                <w:rFonts w:hint="eastAsia" w:cs="Times New Roman"/>
                <w:color w:val="auto"/>
                <w:u w:val="single"/>
                <w:lang w:val="en-US" w:eastAsia="zh-CN"/>
              </w:rPr>
              <w:t>的墙体</w:t>
            </w:r>
            <w:r>
              <w:rPr>
                <w:rFonts w:hint="default" w:ascii="Times New Roman" w:hAnsi="Times New Roman" w:cs="Times New Roman"/>
                <w:color w:val="auto"/>
                <w:u w:val="single"/>
                <w:lang w:val="en-US" w:eastAsia="zh-CN"/>
              </w:rPr>
              <w:t>。根据后文探伤室墙体屏蔽效能的分析，设计参数下墙体屏蔽能满足探伤机工作期间墙体外侧30cm处的周围剂量当量率小于2.5μSv/h的要求，再参照现场探伤中监督区边界的控制值2.5μSv/h的要求，</w:t>
            </w:r>
            <w:r>
              <w:rPr>
                <w:rFonts w:hint="eastAsia" w:cs="Times New Roman"/>
                <w:color w:val="auto"/>
                <w:u w:val="single"/>
                <w:lang w:val="en-US" w:eastAsia="zh-CN"/>
              </w:rPr>
              <w:t>北</w:t>
            </w:r>
            <w:r>
              <w:rPr>
                <w:rFonts w:hint="default" w:ascii="Times New Roman" w:hAnsi="Times New Roman" w:cs="Times New Roman"/>
                <w:color w:val="auto"/>
                <w:u w:val="single"/>
                <w:lang w:val="en-US" w:eastAsia="zh-CN"/>
              </w:rPr>
              <w:t>侧的监督区划为墙外</w:t>
            </w:r>
            <w:r>
              <w:rPr>
                <w:rFonts w:hint="eastAsia" w:cs="Times New Roman"/>
                <w:color w:val="auto"/>
                <w:u w:val="single"/>
                <w:lang w:val="en-US" w:eastAsia="zh-CN"/>
              </w:rPr>
              <w:t>1</w:t>
            </w:r>
            <w:r>
              <w:rPr>
                <w:rFonts w:hint="default" w:ascii="Times New Roman" w:hAnsi="Times New Roman" w:cs="Times New Roman"/>
                <w:color w:val="auto"/>
                <w:u w:val="single"/>
                <w:lang w:val="en-US" w:eastAsia="zh-CN"/>
              </w:rPr>
              <w:t>m是可以接受</w:t>
            </w:r>
            <w:r>
              <w:rPr>
                <w:rFonts w:hint="eastAsia" w:cs="Times New Roman"/>
                <w:color w:val="auto"/>
                <w:u w:val="single"/>
                <w:lang w:val="en-US" w:eastAsia="zh-CN"/>
              </w:rPr>
              <w:t>且</w:t>
            </w:r>
            <w:r>
              <w:rPr>
                <w:rFonts w:hint="default" w:ascii="Times New Roman" w:hAnsi="Times New Roman" w:cs="Times New Roman"/>
                <w:color w:val="auto"/>
                <w:u w:val="single"/>
                <w:lang w:val="en-US" w:eastAsia="zh-CN"/>
              </w:rPr>
              <w:t>更切合现场情况便于企业管理。</w:t>
            </w:r>
          </w:p>
          <w:p>
            <w:pPr>
              <w:pStyle w:val="42"/>
              <w:rPr>
                <w:color w:val="auto"/>
              </w:rPr>
            </w:pPr>
            <w:r>
              <w:rPr>
                <w:rFonts w:hint="eastAsia"/>
                <w:color w:val="auto"/>
              </w:rPr>
              <w:t>10.1.2屏蔽设计及环保相关措施</w:t>
            </w:r>
          </w:p>
          <w:p>
            <w:pPr>
              <w:pStyle w:val="47"/>
              <w:rPr>
                <w:rFonts w:hint="eastAsia"/>
                <w:color w:val="auto"/>
              </w:rPr>
            </w:pPr>
            <w:r>
              <w:rPr>
                <w:rFonts w:hint="eastAsia"/>
                <w:color w:val="auto"/>
              </w:rPr>
              <w:t>根据设计资料，本项目探伤检测系统屏蔽设计见表10-1。</w:t>
            </w:r>
          </w:p>
          <w:p>
            <w:pPr>
              <w:pStyle w:val="49"/>
              <w:rPr>
                <w:color w:val="auto"/>
              </w:rPr>
            </w:pPr>
            <w:r>
              <w:rPr>
                <w:color w:val="auto"/>
              </w:rPr>
              <w:t>表</w:t>
            </w:r>
            <w:r>
              <w:rPr>
                <w:rFonts w:eastAsia="Times New Roman"/>
                <w:color w:val="auto"/>
              </w:rPr>
              <w:t>10-1</w:t>
            </w:r>
            <w:r>
              <w:rPr>
                <w:color w:val="auto"/>
              </w:rPr>
              <w:t>系统屏蔽防护措施一览表</w:t>
            </w: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62"/>
              <w:gridCol w:w="60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62" w:type="dxa"/>
                  <w:noWrap w:val="0"/>
                  <w:vAlign w:val="center"/>
                </w:tcPr>
                <w:p>
                  <w:pPr>
                    <w:pStyle w:val="53"/>
                    <w:rPr>
                      <w:rFonts w:hint="default" w:ascii="Times New Roman" w:hAnsi="Times New Roman" w:cs="Times New Roman"/>
                      <w:color w:val="auto"/>
                    </w:rPr>
                  </w:pPr>
                  <w:r>
                    <w:rPr>
                      <w:rFonts w:hint="default" w:ascii="Times New Roman" w:hAnsi="Times New Roman" w:cs="Times New Roman"/>
                      <w:color w:val="auto"/>
                    </w:rPr>
                    <w:t>项目</w:t>
                  </w:r>
                </w:p>
              </w:tc>
              <w:tc>
                <w:tcPr>
                  <w:tcW w:w="6008" w:type="dxa"/>
                  <w:noWrap w:val="0"/>
                  <w:vAlign w:val="top"/>
                </w:tcPr>
                <w:p>
                  <w:pPr>
                    <w:pStyle w:val="53"/>
                    <w:rPr>
                      <w:rFonts w:hint="default" w:ascii="Times New Roman" w:hAnsi="Times New Roman" w:cs="Times New Roman"/>
                      <w:color w:val="auto"/>
                    </w:rPr>
                  </w:pPr>
                  <w:r>
                    <w:rPr>
                      <w:rFonts w:hint="default" w:ascii="Times New Roman" w:hAnsi="Times New Roman" w:cs="Times New Roman"/>
                      <w:color w:val="auto"/>
                    </w:rPr>
                    <w:t>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62" w:type="dxa"/>
                  <w:noWrap w:val="0"/>
                  <w:vAlign w:val="center"/>
                </w:tcPr>
                <w:p>
                  <w:pPr>
                    <w:pStyle w:val="53"/>
                    <w:rPr>
                      <w:rFonts w:hint="default" w:ascii="Times New Roman" w:hAnsi="Times New Roman" w:cs="Times New Roman"/>
                      <w:color w:val="auto"/>
                    </w:rPr>
                  </w:pPr>
                  <w:r>
                    <w:rPr>
                      <w:rFonts w:hint="default" w:ascii="Times New Roman" w:hAnsi="Times New Roman" w:eastAsia="Times New Roman" w:cs="Times New Roman"/>
                      <w:color w:val="auto"/>
                    </w:rPr>
                    <w:t>X</w:t>
                  </w:r>
                  <w:r>
                    <w:rPr>
                      <w:rFonts w:hint="default" w:ascii="Times New Roman" w:hAnsi="Times New Roman" w:cs="Times New Roman"/>
                      <w:color w:val="auto"/>
                    </w:rPr>
                    <w:t>射线探伤机型号</w:t>
                  </w:r>
                </w:p>
              </w:tc>
              <w:tc>
                <w:tcPr>
                  <w:tcW w:w="6008" w:type="dxa"/>
                  <w:noWrap w:val="0"/>
                  <w:vAlign w:val="center"/>
                </w:tcPr>
                <w:p>
                  <w:pPr>
                    <w:pStyle w:val="53"/>
                    <w:rPr>
                      <w:rFonts w:hint="default" w:ascii="Times New Roman" w:hAnsi="Times New Roman" w:cs="Times New Roman"/>
                      <w:color w:val="auto"/>
                    </w:rPr>
                  </w:pPr>
                  <w:r>
                    <w:rPr>
                      <w:rFonts w:hint="eastAsia"/>
                      <w:color w:val="auto"/>
                      <w:u w:val="single"/>
                      <w:lang w:val="en-US" w:eastAsia="zh-CN"/>
                    </w:rPr>
                    <w:t>ZXFlasee S-450型X射线数字成像(DR)检测系统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62" w:type="dxa"/>
                  <w:noWrap w:val="0"/>
                  <w:vAlign w:val="center"/>
                </w:tcPr>
                <w:p>
                  <w:pPr>
                    <w:pStyle w:val="53"/>
                    <w:rPr>
                      <w:rFonts w:hint="default" w:ascii="Times New Roman" w:hAnsi="Times New Roman" w:cs="Times New Roman"/>
                      <w:color w:val="auto"/>
                    </w:rPr>
                  </w:pPr>
                  <w:r>
                    <w:rPr>
                      <w:rFonts w:hint="default" w:ascii="Times New Roman" w:hAnsi="Times New Roman" w:cs="Times New Roman"/>
                      <w:color w:val="auto"/>
                    </w:rPr>
                    <w:t>额定管电压</w:t>
                  </w:r>
                  <w:r>
                    <w:rPr>
                      <w:rFonts w:hint="default" w:ascii="Times New Roman" w:hAnsi="Times New Roman" w:eastAsia="Times New Roman" w:cs="Times New Roman"/>
                      <w:color w:val="auto"/>
                    </w:rPr>
                    <w:t>/</w:t>
                  </w:r>
                  <w:r>
                    <w:rPr>
                      <w:rFonts w:hint="default" w:ascii="Times New Roman" w:hAnsi="Times New Roman" w:cs="Times New Roman"/>
                      <w:color w:val="auto"/>
                    </w:rPr>
                    <w:t>电流</w:t>
                  </w:r>
                </w:p>
              </w:tc>
              <w:tc>
                <w:tcPr>
                  <w:tcW w:w="6008" w:type="dxa"/>
                  <w:noWrap w:val="0"/>
                  <w:vAlign w:val="center"/>
                </w:tcPr>
                <w:p>
                  <w:pPr>
                    <w:pStyle w:val="53"/>
                    <w:rPr>
                      <w:rFonts w:hint="default" w:ascii="Times New Roman" w:hAnsi="Times New Roman" w:cs="Times New Roman"/>
                      <w:color w:val="auto"/>
                    </w:rPr>
                  </w:pPr>
                  <w:r>
                    <w:rPr>
                      <w:rFonts w:hint="eastAsia" w:cs="Times New Roman"/>
                      <w:color w:val="auto"/>
                      <w:lang w:val="en-US" w:eastAsia="zh-CN"/>
                    </w:rPr>
                    <w:t>450</w:t>
                  </w:r>
                  <w:r>
                    <w:rPr>
                      <w:rFonts w:hint="default" w:ascii="Times New Roman" w:hAnsi="Times New Roman" w:cs="Times New Roman"/>
                      <w:color w:val="auto"/>
                    </w:rPr>
                    <w:t>kV  3</w:t>
                  </w:r>
                  <w:r>
                    <w:rPr>
                      <w:rFonts w:hint="eastAsia" w:cs="Times New Roman"/>
                      <w:color w:val="auto"/>
                      <w:lang w:val="en-US" w:eastAsia="zh-CN"/>
                    </w:rPr>
                    <w:t>0</w:t>
                  </w:r>
                  <w:r>
                    <w:rPr>
                      <w:rFonts w:hint="default" w:ascii="Times New Roman" w:hAnsi="Times New Roman" w:cs="Times New Roman"/>
                      <w:color w:val="auto"/>
                    </w:rPr>
                    <w:t>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62" w:type="dxa"/>
                  <w:noWrap w:val="0"/>
                  <w:vAlign w:val="center"/>
                </w:tcPr>
                <w:p>
                  <w:pPr>
                    <w:pStyle w:val="53"/>
                    <w:rPr>
                      <w:rFonts w:hint="default" w:ascii="Times New Roman" w:hAnsi="Times New Roman" w:cs="Times New Roman"/>
                      <w:color w:val="auto"/>
                    </w:rPr>
                  </w:pPr>
                  <w:r>
                    <w:rPr>
                      <w:rFonts w:hint="default" w:ascii="Times New Roman" w:hAnsi="Times New Roman" w:cs="Times New Roman"/>
                      <w:color w:val="auto"/>
                    </w:rPr>
                    <w:t>主射方向</w:t>
                  </w:r>
                </w:p>
              </w:tc>
              <w:tc>
                <w:tcPr>
                  <w:tcW w:w="6008" w:type="dxa"/>
                  <w:noWrap w:val="0"/>
                  <w:vAlign w:val="top"/>
                </w:tcPr>
                <w:p>
                  <w:pPr>
                    <w:pStyle w:val="53"/>
                    <w:rPr>
                      <w:rFonts w:hint="eastAsia" w:ascii="Times New Roman" w:hAnsi="Times New Roman" w:eastAsia="宋体" w:cs="Times New Roman"/>
                      <w:color w:val="auto"/>
                      <w:lang w:eastAsia="zh-CN"/>
                    </w:rPr>
                  </w:pPr>
                  <w:r>
                    <w:rPr>
                      <w:rFonts w:hint="default" w:ascii="Times New Roman" w:hAnsi="Times New Roman" w:cs="Times New Roman"/>
                      <w:color w:val="auto"/>
                    </w:rPr>
                    <w:t>向</w:t>
                  </w:r>
                  <w:r>
                    <w:rPr>
                      <w:rFonts w:hint="eastAsia" w:cs="Times New Roman"/>
                      <w:color w:val="auto"/>
                      <w:lang w:val="en-US" w:eastAsia="zh-CN"/>
                    </w:rPr>
                    <w:t>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062" w:type="dxa"/>
                  <w:noWrap w:val="0"/>
                  <w:vAlign w:val="center"/>
                </w:tcPr>
                <w:p>
                  <w:pPr>
                    <w:pStyle w:val="53"/>
                    <w:rPr>
                      <w:rFonts w:hint="default" w:ascii="Times New Roman" w:hAnsi="Times New Roman" w:cs="Times New Roman"/>
                      <w:color w:val="auto"/>
                    </w:rPr>
                  </w:pPr>
                  <w:r>
                    <w:rPr>
                      <w:rFonts w:hint="default" w:ascii="Times New Roman" w:hAnsi="Times New Roman" w:cs="Times New Roman"/>
                      <w:color w:val="auto"/>
                    </w:rPr>
                    <w:t>探伤室尺寸</w:t>
                  </w:r>
                </w:p>
                <w:p>
                  <w:pPr>
                    <w:pStyle w:val="53"/>
                    <w:rPr>
                      <w:rFonts w:hint="default" w:ascii="Times New Roman" w:hAnsi="Times New Roman" w:cs="Times New Roman"/>
                      <w:color w:val="auto"/>
                    </w:rPr>
                  </w:pPr>
                  <w:r>
                    <w:rPr>
                      <w:rFonts w:hint="default" w:ascii="Times New Roman" w:hAnsi="Times New Roman" w:cs="Times New Roman"/>
                      <w:color w:val="auto"/>
                    </w:rPr>
                    <w:t>（长</w:t>
                  </w:r>
                  <w:r>
                    <w:rPr>
                      <w:rFonts w:hint="default" w:ascii="Times New Roman" w:hAnsi="Times New Roman" w:eastAsia="Times New Roman" w:cs="Times New Roman"/>
                      <w:color w:val="auto"/>
                    </w:rPr>
                    <w:t>×</w:t>
                  </w:r>
                  <w:r>
                    <w:rPr>
                      <w:rFonts w:hint="default" w:ascii="Times New Roman" w:hAnsi="Times New Roman" w:cs="Times New Roman"/>
                      <w:color w:val="auto"/>
                    </w:rPr>
                    <w:t>宽</w:t>
                  </w:r>
                  <w:r>
                    <w:rPr>
                      <w:rFonts w:hint="default" w:ascii="Times New Roman" w:hAnsi="Times New Roman" w:eastAsia="Times New Roman" w:cs="Times New Roman"/>
                      <w:color w:val="auto"/>
                    </w:rPr>
                    <w:t>×</w:t>
                  </w:r>
                  <w:r>
                    <w:rPr>
                      <w:rFonts w:hint="default" w:ascii="Times New Roman" w:hAnsi="Times New Roman" w:cs="Times New Roman"/>
                      <w:color w:val="auto"/>
                    </w:rPr>
                    <w:t>高）</w:t>
                  </w:r>
                </w:p>
              </w:tc>
              <w:tc>
                <w:tcPr>
                  <w:tcW w:w="6008" w:type="dxa"/>
                  <w:noWrap w:val="0"/>
                  <w:vAlign w:val="center"/>
                </w:tcPr>
                <w:p>
                  <w:pPr>
                    <w:widowControl/>
                    <w:ind w:firstLine="420" w:firstLineChars="200"/>
                    <w:rPr>
                      <w:rFonts w:ascii="Times New Roman" w:hAnsi="Times New Roman"/>
                      <w:color w:val="auto"/>
                      <w:u w:val="single"/>
                    </w:rPr>
                  </w:pPr>
                  <w:r>
                    <w:rPr>
                      <w:rFonts w:ascii="Times New Roman" w:hAnsi="Times New Roman"/>
                      <w:color w:val="auto"/>
                      <w:u w:val="single"/>
                    </w:rPr>
                    <w:t>内空尺寸：</w:t>
                  </w:r>
                  <w:r>
                    <w:rPr>
                      <w:rFonts w:hint="eastAsia" w:ascii="Times New Roman" w:hAnsi="Times New Roman"/>
                      <w:color w:val="auto"/>
                      <w:u w:val="single"/>
                      <w:lang w:val="en-US" w:eastAsia="zh-CN"/>
                    </w:rPr>
                    <w:t>15000</w:t>
                  </w:r>
                  <w:r>
                    <w:rPr>
                      <w:rFonts w:ascii="Times New Roman" w:hAnsi="Times New Roman"/>
                      <w:color w:val="auto"/>
                      <w:u w:val="single"/>
                    </w:rPr>
                    <w:t>mm×</w:t>
                  </w:r>
                  <w:r>
                    <w:rPr>
                      <w:rFonts w:hint="eastAsia" w:ascii="Times New Roman" w:hAnsi="Times New Roman"/>
                      <w:color w:val="auto"/>
                      <w:u w:val="single"/>
                      <w:lang w:val="en-US" w:eastAsia="zh-CN"/>
                    </w:rPr>
                    <w:t>85</w:t>
                  </w:r>
                  <w:r>
                    <w:rPr>
                      <w:rFonts w:ascii="Times New Roman" w:hAnsi="Times New Roman"/>
                      <w:color w:val="auto"/>
                      <w:u w:val="single"/>
                    </w:rPr>
                    <w:t>00mm×</w:t>
                  </w:r>
                  <w:r>
                    <w:rPr>
                      <w:rFonts w:hint="eastAsia" w:ascii="Times New Roman" w:hAnsi="Times New Roman"/>
                      <w:color w:val="auto"/>
                      <w:u w:val="single"/>
                      <w:lang w:val="en-US" w:eastAsia="zh-CN"/>
                    </w:rPr>
                    <w:t>56</w:t>
                  </w:r>
                  <w:r>
                    <w:rPr>
                      <w:rFonts w:hint="eastAsia" w:ascii="Times New Roman" w:hAnsi="Times New Roman"/>
                      <w:color w:val="auto"/>
                      <w:u w:val="single"/>
                    </w:rPr>
                    <w:t>00</w:t>
                  </w:r>
                  <w:r>
                    <w:rPr>
                      <w:rFonts w:ascii="Times New Roman" w:hAnsi="Times New Roman"/>
                      <w:color w:val="auto"/>
                      <w:u w:val="single"/>
                    </w:rPr>
                    <w:t>mm</w:t>
                  </w:r>
                </w:p>
                <w:p>
                  <w:pPr>
                    <w:pStyle w:val="2"/>
                    <w:ind w:left="0" w:leftChars="0"/>
                    <w:rPr>
                      <w:rFonts w:hint="default" w:ascii="Times New Roman" w:hAnsi="Times New Roman" w:cs="Times New Roman"/>
                      <w:color w:val="auto"/>
                      <w:sz w:val="21"/>
                      <w:szCs w:val="21"/>
                    </w:rPr>
                  </w:pPr>
                  <w:r>
                    <w:rPr>
                      <w:rFonts w:ascii="Times New Roman" w:hAnsi="Times New Roman"/>
                      <w:color w:val="auto"/>
                      <w:sz w:val="21"/>
                      <w:szCs w:val="21"/>
                      <w:u w:val="single"/>
                    </w:rPr>
                    <w:t>外部尺寸：</w:t>
                  </w:r>
                  <w:r>
                    <w:rPr>
                      <w:rFonts w:hint="eastAsia" w:ascii="Times New Roman" w:hAnsi="Times New Roman"/>
                      <w:color w:val="auto"/>
                      <w:sz w:val="21"/>
                      <w:szCs w:val="21"/>
                      <w:u w:val="single"/>
                      <w:lang w:val="en-US" w:eastAsia="zh-CN"/>
                    </w:rPr>
                    <w:t>13600</w:t>
                  </w:r>
                  <w:r>
                    <w:rPr>
                      <w:rFonts w:ascii="Times New Roman" w:hAnsi="Times New Roman"/>
                      <w:color w:val="auto"/>
                      <w:sz w:val="21"/>
                      <w:szCs w:val="21"/>
                      <w:u w:val="single"/>
                    </w:rPr>
                    <w:t>mm×</w:t>
                  </w:r>
                  <w:r>
                    <w:rPr>
                      <w:rFonts w:hint="eastAsia" w:ascii="Times New Roman" w:hAnsi="Times New Roman"/>
                      <w:color w:val="auto"/>
                      <w:sz w:val="21"/>
                      <w:szCs w:val="21"/>
                      <w:u w:val="single"/>
                      <w:lang w:val="en-US" w:eastAsia="zh-CN"/>
                    </w:rPr>
                    <w:t>6900</w:t>
                  </w:r>
                  <w:r>
                    <w:rPr>
                      <w:rFonts w:ascii="Times New Roman" w:hAnsi="Times New Roman"/>
                      <w:color w:val="auto"/>
                      <w:sz w:val="21"/>
                      <w:szCs w:val="21"/>
                      <w:u w:val="single"/>
                    </w:rPr>
                    <w:t>mm×</w:t>
                  </w:r>
                  <w:r>
                    <w:rPr>
                      <w:rFonts w:hint="eastAsia" w:ascii="Times New Roman" w:hAnsi="Times New Roman"/>
                      <w:color w:val="auto"/>
                      <w:sz w:val="21"/>
                      <w:szCs w:val="21"/>
                      <w:u w:val="single"/>
                      <w:lang w:val="en-US" w:eastAsia="zh-CN"/>
                    </w:rPr>
                    <w:t>5000</w:t>
                  </w:r>
                  <w:r>
                    <w:rPr>
                      <w:rFonts w:ascii="Times New Roman" w:hAnsi="Times New Roman"/>
                      <w:color w:val="auto"/>
                      <w:sz w:val="21"/>
                      <w:szCs w:val="21"/>
                      <w:u w:val="single"/>
                    </w:rPr>
                    <w:t>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62" w:type="dxa"/>
                  <w:noWrap w:val="0"/>
                  <w:vAlign w:val="center"/>
                </w:tcPr>
                <w:p>
                  <w:pPr>
                    <w:pStyle w:val="53"/>
                    <w:rPr>
                      <w:rFonts w:hint="default" w:ascii="Times New Roman" w:hAnsi="Times New Roman" w:cs="Times New Roman"/>
                      <w:color w:val="auto"/>
                    </w:rPr>
                  </w:pPr>
                  <w:r>
                    <w:rPr>
                      <w:rFonts w:hint="default" w:ascii="Times New Roman" w:hAnsi="Times New Roman" w:cs="Times New Roman"/>
                      <w:color w:val="auto"/>
                    </w:rPr>
                    <w:t>探伤室墙体屏蔽厚度</w:t>
                  </w:r>
                </w:p>
              </w:tc>
              <w:tc>
                <w:tcPr>
                  <w:tcW w:w="6008" w:type="dxa"/>
                  <w:noWrap w:val="0"/>
                  <w:vAlign w:val="center"/>
                </w:tcPr>
                <w:p>
                  <w:pPr>
                    <w:pStyle w:val="53"/>
                    <w:ind w:firstLine="420" w:firstLineChars="200"/>
                    <w:jc w:val="both"/>
                    <w:rPr>
                      <w:rFonts w:hint="eastAsia"/>
                      <w:color w:val="auto"/>
                      <w:u w:val="single"/>
                      <w:lang w:val="en-US" w:eastAsia="zh-CN"/>
                    </w:rPr>
                  </w:pPr>
                  <w:r>
                    <w:rPr>
                      <w:rFonts w:hint="eastAsia"/>
                      <w:color w:val="auto"/>
                      <w:u w:val="single"/>
                      <w:lang w:val="en-US" w:eastAsia="zh-CN"/>
                    </w:rPr>
                    <w:t>北墙：900mm混凝土</w:t>
                  </w:r>
                </w:p>
                <w:p>
                  <w:pPr>
                    <w:pStyle w:val="53"/>
                    <w:ind w:firstLine="420" w:firstLineChars="200"/>
                    <w:jc w:val="both"/>
                    <w:rPr>
                      <w:rFonts w:hint="default"/>
                      <w:color w:val="auto"/>
                      <w:u w:val="single"/>
                      <w:lang w:val="en-US" w:eastAsia="zh-CN"/>
                    </w:rPr>
                  </w:pPr>
                  <w:r>
                    <w:rPr>
                      <w:rFonts w:hint="eastAsia"/>
                      <w:color w:val="auto"/>
                      <w:u w:val="single"/>
                      <w:lang w:val="en-US" w:eastAsia="zh-CN"/>
                    </w:rPr>
                    <w:t>东、南、西墙：700mm混凝土</w:t>
                  </w:r>
                </w:p>
                <w:p>
                  <w:pPr>
                    <w:pStyle w:val="53"/>
                    <w:ind w:firstLine="420" w:firstLineChars="200"/>
                    <w:jc w:val="both"/>
                    <w:rPr>
                      <w:rFonts w:hint="default" w:ascii="Times New Roman" w:hAnsi="Times New Roman" w:cs="Times New Roman"/>
                      <w:color w:val="auto"/>
                    </w:rPr>
                  </w:pPr>
                  <w:r>
                    <w:rPr>
                      <w:color w:val="auto"/>
                      <w:u w:val="single"/>
                    </w:rPr>
                    <w:t>顶棚：</w:t>
                  </w:r>
                  <w:r>
                    <w:rPr>
                      <w:rFonts w:hint="eastAsia"/>
                      <w:color w:val="auto"/>
                      <w:u w:val="single"/>
                      <w:lang w:val="en-US" w:eastAsia="zh-CN"/>
                    </w:rPr>
                    <w:t>6</w:t>
                  </w:r>
                  <w:r>
                    <w:rPr>
                      <w:rFonts w:hint="eastAsia"/>
                      <w:color w:val="auto"/>
                      <w:u w:val="single"/>
                    </w:rPr>
                    <w:t>00mm混凝土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62" w:type="dxa"/>
                  <w:noWrap w:val="0"/>
                  <w:vAlign w:val="center"/>
                </w:tcPr>
                <w:p>
                  <w:pPr>
                    <w:pStyle w:val="53"/>
                    <w:rPr>
                      <w:rFonts w:hint="default" w:ascii="Times New Roman" w:hAnsi="Times New Roman" w:cs="Times New Roman"/>
                      <w:color w:val="auto"/>
                    </w:rPr>
                  </w:pPr>
                  <w:r>
                    <w:rPr>
                      <w:rFonts w:hint="default" w:ascii="Times New Roman" w:hAnsi="Times New Roman" w:cs="Times New Roman"/>
                      <w:color w:val="auto"/>
                    </w:rPr>
                    <w:t>铅门尺寸及铅门</w:t>
                  </w:r>
                </w:p>
              </w:tc>
              <w:tc>
                <w:tcPr>
                  <w:tcW w:w="6008" w:type="dxa"/>
                  <w:noWrap w:val="0"/>
                  <w:vAlign w:val="center"/>
                </w:tcPr>
                <w:p>
                  <w:pPr>
                    <w:pStyle w:val="53"/>
                    <w:ind w:firstLine="420" w:firstLineChars="200"/>
                    <w:jc w:val="both"/>
                    <w:rPr>
                      <w:rFonts w:hint="default" w:ascii="Times New Roman" w:hAnsi="Times New Roman" w:cs="Times New Roman"/>
                      <w:color w:val="auto"/>
                    </w:rPr>
                  </w:pPr>
                  <w:r>
                    <w:rPr>
                      <w:rFonts w:hint="default" w:ascii="Times New Roman" w:hAnsi="Times New Roman" w:cs="Times New Roman"/>
                      <w:color w:val="auto"/>
                    </w:rPr>
                    <w:t>大铅门：</w:t>
                  </w:r>
                </w:p>
                <w:p>
                  <w:pPr>
                    <w:pStyle w:val="53"/>
                    <w:ind w:firstLine="420" w:firstLineChars="200"/>
                    <w:jc w:val="both"/>
                    <w:rPr>
                      <w:rFonts w:hint="eastAsia"/>
                      <w:color w:val="auto"/>
                      <w:u w:val="single"/>
                      <w:lang w:val="en-US" w:eastAsia="zh-CN"/>
                    </w:rPr>
                  </w:pPr>
                  <w:r>
                    <w:rPr>
                      <w:rFonts w:hint="eastAsia"/>
                      <w:color w:val="auto"/>
                      <w:u w:val="single"/>
                      <w:lang w:val="en-US" w:eastAsia="zh-CN"/>
                    </w:rPr>
                    <w:t>门洞</w:t>
                  </w:r>
                  <w:r>
                    <w:rPr>
                      <w:rFonts w:hint="eastAsia"/>
                      <w:color w:val="auto"/>
                      <w:u w:val="single"/>
                    </w:rPr>
                    <w:t>：</w:t>
                  </w:r>
                  <w:r>
                    <w:rPr>
                      <w:rFonts w:hint="eastAsia"/>
                      <w:color w:val="auto"/>
                      <w:u w:val="single"/>
                      <w:lang w:val="en-US" w:eastAsia="zh-CN"/>
                    </w:rPr>
                    <w:t>4500</w:t>
                  </w:r>
                  <w:r>
                    <w:rPr>
                      <w:rFonts w:hint="eastAsia"/>
                      <w:color w:val="auto"/>
                      <w:u w:val="single"/>
                    </w:rPr>
                    <w:t>mm×</w:t>
                  </w:r>
                  <w:r>
                    <w:rPr>
                      <w:rFonts w:hint="eastAsia"/>
                      <w:color w:val="auto"/>
                      <w:u w:val="single"/>
                      <w:lang w:val="en-US" w:eastAsia="zh-CN"/>
                    </w:rPr>
                    <w:t>3800</w:t>
                  </w:r>
                  <w:r>
                    <w:rPr>
                      <w:rFonts w:hint="eastAsia"/>
                      <w:color w:val="auto"/>
                      <w:u w:val="single"/>
                    </w:rPr>
                    <w:t>mm</w:t>
                  </w:r>
                  <w:r>
                    <w:rPr>
                      <w:rFonts w:hint="eastAsia"/>
                      <w:color w:val="auto"/>
                      <w:u w:val="single"/>
                      <w:lang w:val="en-US" w:eastAsia="zh-CN"/>
                    </w:rPr>
                    <w:t xml:space="preserve"> </w:t>
                  </w:r>
                </w:p>
                <w:p>
                  <w:pPr>
                    <w:pStyle w:val="53"/>
                    <w:ind w:firstLine="420" w:firstLineChars="200"/>
                    <w:jc w:val="both"/>
                    <w:rPr>
                      <w:rFonts w:hint="eastAsia"/>
                      <w:color w:val="auto"/>
                      <w:u w:val="single"/>
                    </w:rPr>
                  </w:pPr>
                  <w:r>
                    <w:rPr>
                      <w:rFonts w:hint="eastAsia"/>
                      <w:color w:val="auto"/>
                      <w:u w:val="single"/>
                    </w:rPr>
                    <w:t>铅门：</w:t>
                  </w:r>
                  <w:r>
                    <w:rPr>
                      <w:rFonts w:hint="eastAsia"/>
                      <w:color w:val="auto"/>
                      <w:u w:val="single"/>
                      <w:lang w:val="en-US" w:eastAsia="zh-CN"/>
                    </w:rPr>
                    <w:t>2350</w:t>
                  </w:r>
                  <w:r>
                    <w:rPr>
                      <w:rFonts w:hint="eastAsia"/>
                      <w:color w:val="auto"/>
                      <w:u w:val="single"/>
                    </w:rPr>
                    <w:t>mm×</w:t>
                  </w:r>
                  <w:r>
                    <w:rPr>
                      <w:rFonts w:hint="eastAsia"/>
                      <w:color w:val="auto"/>
                      <w:u w:val="single"/>
                      <w:lang w:val="en-US" w:eastAsia="zh-CN"/>
                    </w:rPr>
                    <w:t>40</w:t>
                  </w:r>
                  <w:r>
                    <w:rPr>
                      <w:rFonts w:hint="eastAsia"/>
                      <w:color w:val="auto"/>
                      <w:u w:val="single"/>
                    </w:rPr>
                    <w:t>00mm（两扇）</w:t>
                  </w:r>
                </w:p>
                <w:p>
                  <w:pPr>
                    <w:pStyle w:val="53"/>
                    <w:ind w:firstLine="420" w:firstLineChars="200"/>
                    <w:jc w:val="both"/>
                    <w:rPr>
                      <w:rFonts w:hint="eastAsia"/>
                      <w:color w:val="FF0000"/>
                      <w:u w:val="single"/>
                    </w:rPr>
                  </w:pPr>
                  <w:r>
                    <w:rPr>
                      <w:color w:val="FF0000"/>
                      <w:u w:val="single"/>
                    </w:rPr>
                    <w:t>铅门屏蔽：</w:t>
                  </w:r>
                  <w:r>
                    <w:rPr>
                      <w:rFonts w:hint="eastAsia"/>
                      <w:color w:val="FF0000"/>
                      <w:u w:val="single"/>
                      <w:lang w:val="en-US" w:eastAsia="zh-CN"/>
                    </w:rPr>
                    <w:t>45</w:t>
                  </w:r>
                  <w:r>
                    <w:rPr>
                      <w:rFonts w:hint="eastAsia"/>
                      <w:color w:val="FF0000"/>
                      <w:u w:val="single"/>
                    </w:rPr>
                    <w:t>mmPb</w:t>
                  </w:r>
                </w:p>
                <w:p>
                  <w:pPr>
                    <w:pStyle w:val="53"/>
                    <w:ind w:firstLine="420" w:firstLineChars="200"/>
                    <w:jc w:val="both"/>
                    <w:rPr>
                      <w:rFonts w:hint="default" w:ascii="Times New Roman" w:hAnsi="Times New Roman" w:cs="Times New Roman"/>
                      <w:color w:val="auto"/>
                    </w:rPr>
                  </w:pPr>
                  <w:r>
                    <w:rPr>
                      <w:rFonts w:hint="default" w:ascii="Times New Roman" w:hAnsi="Times New Roman" w:cs="Times New Roman"/>
                      <w:color w:val="auto"/>
                    </w:rPr>
                    <w:t>小铅门：</w:t>
                  </w:r>
                </w:p>
                <w:p>
                  <w:pPr>
                    <w:pStyle w:val="53"/>
                    <w:ind w:firstLine="420" w:firstLineChars="200"/>
                    <w:jc w:val="both"/>
                    <w:rPr>
                      <w:rFonts w:hint="eastAsia"/>
                      <w:color w:val="auto"/>
                      <w:u w:val="single"/>
                    </w:rPr>
                  </w:pPr>
                  <w:r>
                    <w:rPr>
                      <w:rFonts w:hint="eastAsia"/>
                      <w:color w:val="auto"/>
                      <w:u w:val="single"/>
                      <w:lang w:val="en-US" w:eastAsia="zh-CN"/>
                    </w:rPr>
                    <w:t>门洞</w:t>
                  </w:r>
                  <w:r>
                    <w:rPr>
                      <w:rFonts w:hint="eastAsia"/>
                      <w:color w:val="auto"/>
                      <w:u w:val="single"/>
                    </w:rPr>
                    <w:t>：800mm×1800mm</w:t>
                  </w:r>
                </w:p>
                <w:p>
                  <w:pPr>
                    <w:pStyle w:val="53"/>
                    <w:ind w:firstLine="420" w:firstLineChars="200"/>
                    <w:jc w:val="both"/>
                    <w:rPr>
                      <w:rFonts w:hint="eastAsia"/>
                      <w:color w:val="auto"/>
                      <w:u w:val="single"/>
                    </w:rPr>
                  </w:pPr>
                  <w:r>
                    <w:rPr>
                      <w:rFonts w:hint="eastAsia"/>
                      <w:color w:val="auto"/>
                      <w:u w:val="single"/>
                      <w:lang w:val="en-US" w:eastAsia="zh-CN"/>
                    </w:rPr>
                    <w:t>铅门</w:t>
                  </w:r>
                  <w:r>
                    <w:rPr>
                      <w:rFonts w:hint="eastAsia"/>
                      <w:color w:val="auto"/>
                      <w:u w:val="single"/>
                    </w:rPr>
                    <w:t>：1000mm×200</w:t>
                  </w:r>
                  <w:r>
                    <w:rPr>
                      <w:rFonts w:hint="eastAsia"/>
                      <w:color w:val="auto"/>
                      <w:u w:val="single"/>
                      <w:lang w:val="en-US" w:eastAsia="zh-CN"/>
                    </w:rPr>
                    <w:t>0</w:t>
                  </w:r>
                  <w:r>
                    <w:rPr>
                      <w:rFonts w:hint="eastAsia"/>
                      <w:color w:val="auto"/>
                      <w:u w:val="single"/>
                    </w:rPr>
                    <w:t>mm</w:t>
                  </w:r>
                </w:p>
                <w:p>
                  <w:pPr>
                    <w:pStyle w:val="53"/>
                    <w:ind w:firstLine="420" w:firstLineChars="200"/>
                    <w:jc w:val="both"/>
                    <w:rPr>
                      <w:rFonts w:hint="default" w:ascii="Times New Roman" w:hAnsi="Times New Roman" w:cs="Times New Roman"/>
                      <w:color w:val="auto"/>
                    </w:rPr>
                  </w:pPr>
                  <w:r>
                    <w:rPr>
                      <w:color w:val="auto"/>
                      <w:u w:val="single"/>
                    </w:rPr>
                    <w:t>铅门屏蔽：</w:t>
                  </w:r>
                  <w:r>
                    <w:rPr>
                      <w:rFonts w:hint="eastAsia"/>
                      <w:color w:val="auto"/>
                      <w:u w:val="single"/>
                    </w:rPr>
                    <w:t>3</w:t>
                  </w:r>
                  <w:r>
                    <w:rPr>
                      <w:rFonts w:hint="eastAsia"/>
                      <w:color w:val="auto"/>
                      <w:u w:val="single"/>
                      <w:lang w:val="en-US" w:eastAsia="zh-CN"/>
                    </w:rPr>
                    <w:t>5</w:t>
                  </w:r>
                  <w:r>
                    <w:rPr>
                      <w:rFonts w:hint="eastAsia"/>
                      <w:color w:val="auto"/>
                      <w:u w:val="single"/>
                    </w:rPr>
                    <w:t>mmPb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62" w:type="dxa"/>
                  <w:noWrap w:val="0"/>
                  <w:vAlign w:val="center"/>
                </w:tcPr>
                <w:p>
                  <w:pPr>
                    <w:pStyle w:val="53"/>
                    <w:rPr>
                      <w:rFonts w:hint="default" w:ascii="Times New Roman" w:hAnsi="Times New Roman" w:cs="Times New Roman"/>
                      <w:color w:val="auto"/>
                    </w:rPr>
                  </w:pPr>
                  <w:r>
                    <w:rPr>
                      <w:rFonts w:hint="default" w:ascii="Times New Roman" w:hAnsi="Times New Roman" w:cs="Times New Roman"/>
                      <w:color w:val="auto"/>
                    </w:rPr>
                    <w:t>屏蔽墙体辐射防护</w:t>
                  </w:r>
                </w:p>
              </w:tc>
              <w:tc>
                <w:tcPr>
                  <w:tcW w:w="6008" w:type="dxa"/>
                  <w:noWrap w:val="0"/>
                  <w:vAlign w:val="center"/>
                </w:tcPr>
                <w:p>
                  <w:pPr>
                    <w:pStyle w:val="53"/>
                    <w:ind w:firstLine="420" w:firstLineChars="200"/>
                    <w:jc w:val="both"/>
                    <w:rPr>
                      <w:rFonts w:hint="default" w:ascii="Times New Roman" w:hAnsi="Times New Roman" w:cs="Times New Roman"/>
                      <w:color w:val="auto"/>
                    </w:rPr>
                  </w:pPr>
                  <w:r>
                    <w:rPr>
                      <w:rFonts w:hint="default" w:ascii="Times New Roman" w:hAnsi="Times New Roman" w:cs="Times New Roman"/>
                      <w:color w:val="auto"/>
                      <w:u w:val="single"/>
                    </w:rPr>
                    <w:t>穿越防护墙的导线、导管采用“U”型进入探伤室内，不影响墙体屏蔽防护效果</w:t>
                  </w:r>
                  <w:r>
                    <w:rPr>
                      <w:rFonts w:hint="eastAsia" w:cs="Times New Roman"/>
                      <w:color w:val="auto"/>
                      <w:u w:val="single"/>
                      <w:lang w:eastAsia="zh-CN"/>
                    </w:rPr>
                    <w:t>，</w:t>
                  </w:r>
                  <w:r>
                    <w:rPr>
                      <w:rFonts w:hint="default" w:ascii="Times New Roman" w:hAnsi="Times New Roman" w:cs="Times New Roman"/>
                      <w:color w:val="auto"/>
                      <w:u w:val="single"/>
                    </w:rPr>
                    <w:t>并在预埋管道的入口或出口应有</w:t>
                  </w:r>
                  <w:r>
                    <w:rPr>
                      <w:rFonts w:hint="eastAsia" w:cs="Times New Roman"/>
                      <w:color w:val="auto"/>
                      <w:u w:val="single"/>
                      <w:lang w:val="en-US" w:eastAsia="zh-CN"/>
                    </w:rPr>
                    <w:t>1mmPb</w:t>
                  </w:r>
                  <w:r>
                    <w:rPr>
                      <w:rFonts w:hint="default" w:ascii="Times New Roman" w:hAnsi="Times New Roman" w:cs="Times New Roman"/>
                      <w:color w:val="auto"/>
                      <w:u w:val="single"/>
                    </w:rPr>
                    <w:t>的</w:t>
                  </w:r>
                  <w:r>
                    <w:rPr>
                      <w:rFonts w:hint="eastAsia" w:cs="Times New Roman"/>
                      <w:color w:val="auto"/>
                      <w:u w:val="single"/>
                      <w:lang w:val="en-US" w:eastAsia="zh-CN"/>
                    </w:rPr>
                    <w:t>铅</w:t>
                  </w:r>
                  <w:r>
                    <w:rPr>
                      <w:rFonts w:hint="default" w:ascii="Times New Roman" w:hAnsi="Times New Roman" w:cs="Times New Roman"/>
                      <w:color w:val="auto"/>
                      <w:u w:val="single"/>
                    </w:rPr>
                    <w:t>屏蔽盖板；四周墙体埋入地下50mm，防护门埋入地下150mm。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62" w:type="dxa"/>
                  <w:noWrap w:val="0"/>
                  <w:vAlign w:val="center"/>
                </w:tcPr>
                <w:p>
                  <w:pPr>
                    <w:pStyle w:val="53"/>
                    <w:rPr>
                      <w:rFonts w:hint="default" w:ascii="Times New Roman" w:hAnsi="Times New Roman" w:cs="Times New Roman"/>
                      <w:color w:val="auto"/>
                    </w:rPr>
                  </w:pPr>
                  <w:r>
                    <w:rPr>
                      <w:rFonts w:hint="default" w:ascii="Times New Roman" w:hAnsi="Times New Roman" w:cs="Times New Roman"/>
                      <w:color w:val="auto"/>
                    </w:rPr>
                    <w:t>门机连锁装置</w:t>
                  </w:r>
                </w:p>
              </w:tc>
              <w:tc>
                <w:tcPr>
                  <w:tcW w:w="6008" w:type="dxa"/>
                  <w:noWrap w:val="0"/>
                  <w:vAlign w:val="top"/>
                </w:tcPr>
                <w:p>
                  <w:pPr>
                    <w:ind w:firstLine="420" w:firstLineChars="200"/>
                    <w:rPr>
                      <w:rFonts w:hint="default" w:ascii="Times New Roman" w:hAnsi="Times New Roman" w:cs="Times New Roman"/>
                      <w:color w:val="auto"/>
                      <w:szCs w:val="21"/>
                    </w:rPr>
                  </w:pPr>
                  <w:r>
                    <w:rPr>
                      <w:rFonts w:hint="eastAsia" w:ascii="Times New Roman" w:hAnsi="Times New Roman" w:cs="Times New Roman"/>
                      <w:color w:val="auto"/>
                      <w:szCs w:val="21"/>
                      <w:lang w:val="en-US" w:eastAsia="zh-CN"/>
                    </w:rPr>
                    <w:t>设有门机联锁装置，</w:t>
                  </w:r>
                  <w:r>
                    <w:rPr>
                      <w:rFonts w:hint="default" w:ascii="Times New Roman" w:hAnsi="Times New Roman" w:cs="Times New Roman"/>
                      <w:color w:val="auto"/>
                      <w:szCs w:val="21"/>
                    </w:rPr>
                    <w:t>通过相应的电路设置，在探伤室屏蔽门关闭的情况下X射线探伤机才能通电开机，如有人开启屏蔽门，误入探伤室，将自动切断X射线探伤机高压，停止产生X射线。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62" w:type="dxa"/>
                  <w:noWrap w:val="0"/>
                  <w:vAlign w:val="center"/>
                </w:tcPr>
                <w:p>
                  <w:pPr>
                    <w:pStyle w:val="53"/>
                    <w:rPr>
                      <w:rFonts w:hint="default" w:ascii="Times New Roman" w:hAnsi="Times New Roman" w:cs="Times New Roman"/>
                      <w:color w:val="auto"/>
                    </w:rPr>
                  </w:pPr>
                  <w:r>
                    <w:rPr>
                      <w:rFonts w:hint="default" w:ascii="Times New Roman" w:hAnsi="Times New Roman" w:cs="Times New Roman"/>
                      <w:color w:val="auto"/>
                    </w:rPr>
                    <w:t>电离辐射警告标识及中文警示说明</w:t>
                  </w:r>
                </w:p>
              </w:tc>
              <w:tc>
                <w:tcPr>
                  <w:tcW w:w="6008" w:type="dxa"/>
                  <w:noWrap w:val="0"/>
                  <w:vAlign w:val="top"/>
                </w:tcPr>
                <w:p>
                  <w:pPr>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要求在探伤室四面设置电离辐射警告标识及中文警示说明</w:t>
                  </w:r>
                  <w:r>
                    <w:rPr>
                      <w:rFonts w:hint="eastAsia" w:ascii="Times New Roman" w:hAnsi="Times New Roman" w:cs="Times New Roman"/>
                      <w:color w:val="auto"/>
                      <w:szCs w:val="21"/>
                      <w:lang w:eastAsia="zh-CN"/>
                    </w:rPr>
                    <w:t>，</w:t>
                  </w:r>
                  <w:r>
                    <w:rPr>
                      <w:rFonts w:hint="eastAsia" w:ascii="Times New Roman" w:hAnsi="Times New Roman" w:cs="Times New Roman"/>
                      <w:color w:val="auto"/>
                      <w:szCs w:val="21"/>
                      <w:lang w:val="en-US" w:eastAsia="zh-CN"/>
                    </w:rPr>
                    <w:t>并通过设置地面标识或围栏等措施明确监督区范围</w:t>
                  </w:r>
                  <w:r>
                    <w:rPr>
                      <w:rFonts w:hint="default" w:ascii="Times New Roman" w:hAnsi="Times New Roman" w:cs="Times New Roman"/>
                      <w:color w:val="auto"/>
                      <w:szCs w:val="21"/>
                    </w:rPr>
                    <w:t>。</w:t>
                  </w:r>
                </w:p>
                <w:p>
                  <w:pPr>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警示标识具体要求参照《电离辐射防护与辐射源安全基本标准》（GB18871-2002）中附录F电离辐射的标志和警告标志的要求设置。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62" w:type="dxa"/>
                  <w:noWrap w:val="0"/>
                  <w:vAlign w:val="center"/>
                </w:tcPr>
                <w:p>
                  <w:pPr>
                    <w:pStyle w:val="53"/>
                    <w:rPr>
                      <w:rFonts w:hint="default" w:ascii="Times New Roman" w:hAnsi="Times New Roman" w:cs="Times New Roman"/>
                      <w:color w:val="auto"/>
                    </w:rPr>
                  </w:pPr>
                  <w:r>
                    <w:rPr>
                      <w:rFonts w:hint="default" w:ascii="Times New Roman" w:hAnsi="Times New Roman" w:cs="Times New Roman"/>
                      <w:color w:val="auto"/>
                    </w:rPr>
                    <w:t>工作状态警示灯</w:t>
                  </w:r>
                </w:p>
              </w:tc>
              <w:tc>
                <w:tcPr>
                  <w:tcW w:w="6008" w:type="dxa"/>
                  <w:noWrap w:val="0"/>
                  <w:vAlign w:val="top"/>
                </w:tcPr>
                <w:p>
                  <w:pPr>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探伤室顶部和屏蔽门处设置警示灯，</w:t>
                  </w:r>
                  <w:r>
                    <w:rPr>
                      <w:rFonts w:hint="default" w:ascii="Times New Roman" w:hAnsi="Times New Roman" w:cs="Times New Roman"/>
                      <w:color w:val="auto"/>
                      <w:kern w:val="0"/>
                      <w:szCs w:val="21"/>
                    </w:rPr>
                    <w:t>显示</w:t>
                  </w:r>
                  <w:r>
                    <w:rPr>
                      <w:rFonts w:hint="eastAsia" w:ascii="Times New Roman" w:hAnsi="Times New Roman" w:cs="Times New Roman"/>
                      <w:color w:val="auto"/>
                      <w:kern w:val="0"/>
                      <w:szCs w:val="21"/>
                      <w:lang w:eastAsia="zh-CN"/>
                    </w:rPr>
                    <w:t>“</w:t>
                  </w:r>
                  <w:r>
                    <w:rPr>
                      <w:rFonts w:hint="default" w:ascii="Times New Roman" w:hAnsi="Times New Roman" w:cs="Times New Roman"/>
                      <w:color w:val="auto"/>
                      <w:kern w:val="0"/>
                      <w:szCs w:val="21"/>
                    </w:rPr>
                    <w:t>预备</w:t>
                  </w:r>
                  <w:r>
                    <w:rPr>
                      <w:rFonts w:hint="eastAsia" w:ascii="Times New Roman" w:hAnsi="Times New Roman" w:cs="Times New Roman"/>
                      <w:color w:val="auto"/>
                      <w:kern w:val="0"/>
                      <w:szCs w:val="21"/>
                      <w:lang w:eastAsia="zh-CN"/>
                    </w:rPr>
                    <w:t>”</w:t>
                  </w:r>
                  <w:r>
                    <w:rPr>
                      <w:rFonts w:hint="default" w:ascii="Times New Roman" w:hAnsi="Times New Roman" w:cs="Times New Roman"/>
                      <w:color w:val="auto"/>
                      <w:kern w:val="0"/>
                      <w:szCs w:val="21"/>
                    </w:rPr>
                    <w:t>和</w:t>
                  </w:r>
                  <w:r>
                    <w:rPr>
                      <w:rFonts w:hint="eastAsia" w:ascii="Times New Roman" w:hAnsi="Times New Roman" w:cs="Times New Roman"/>
                      <w:color w:val="auto"/>
                      <w:kern w:val="0"/>
                      <w:szCs w:val="21"/>
                      <w:lang w:eastAsia="zh-CN"/>
                    </w:rPr>
                    <w:t>“</w:t>
                  </w:r>
                  <w:r>
                    <w:rPr>
                      <w:rFonts w:hint="default" w:ascii="Times New Roman" w:hAnsi="Times New Roman" w:cs="Times New Roman"/>
                      <w:color w:val="auto"/>
                      <w:kern w:val="0"/>
                      <w:szCs w:val="21"/>
                    </w:rPr>
                    <w:t>照射</w:t>
                  </w:r>
                  <w:r>
                    <w:rPr>
                      <w:rFonts w:hint="eastAsia" w:ascii="Times New Roman" w:hAnsi="Times New Roman" w:cs="Times New Roman"/>
                      <w:color w:val="auto"/>
                      <w:kern w:val="0"/>
                      <w:szCs w:val="21"/>
                      <w:lang w:eastAsia="zh-CN"/>
                    </w:rPr>
                    <w:t>”</w:t>
                  </w:r>
                  <w:r>
                    <w:rPr>
                      <w:rFonts w:hint="default" w:ascii="Times New Roman" w:hAnsi="Times New Roman" w:cs="Times New Roman"/>
                      <w:color w:val="auto"/>
                      <w:kern w:val="0"/>
                      <w:szCs w:val="21"/>
                    </w:rPr>
                    <w:t>状态的指示灯和声音提示装置。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62" w:type="dxa"/>
                  <w:noWrap w:val="0"/>
                  <w:vAlign w:val="center"/>
                </w:tcPr>
                <w:p>
                  <w:pPr>
                    <w:pStyle w:val="53"/>
                    <w:rPr>
                      <w:rFonts w:hint="default" w:ascii="Times New Roman" w:hAnsi="Times New Roman" w:cs="Times New Roman"/>
                      <w:color w:val="auto"/>
                    </w:rPr>
                  </w:pPr>
                  <w:r>
                    <w:rPr>
                      <w:rFonts w:hint="default" w:ascii="Times New Roman" w:hAnsi="Times New Roman" w:cs="Times New Roman"/>
                      <w:color w:val="auto"/>
                    </w:rPr>
                    <w:t>通风系统</w:t>
                  </w:r>
                </w:p>
              </w:tc>
              <w:tc>
                <w:tcPr>
                  <w:tcW w:w="6008" w:type="dxa"/>
                  <w:noWrap w:val="0"/>
                  <w:vAlign w:val="top"/>
                </w:tcPr>
                <w:p>
                  <w:pPr>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u w:val="single"/>
                    </w:rPr>
                    <w:t>机械通风系统，通风口设在探伤室</w:t>
                  </w:r>
                  <w:r>
                    <w:rPr>
                      <w:rFonts w:hint="eastAsia" w:ascii="Times New Roman" w:hAnsi="Times New Roman" w:cs="Times New Roman"/>
                      <w:color w:val="auto"/>
                      <w:szCs w:val="21"/>
                      <w:u w:val="single"/>
                      <w:lang w:val="en-US" w:eastAsia="zh-CN"/>
                    </w:rPr>
                    <w:t>北侧</w:t>
                  </w:r>
                  <w:r>
                    <w:rPr>
                      <w:rFonts w:hint="default" w:ascii="Times New Roman" w:hAnsi="Times New Roman" w:cs="Times New Roman"/>
                      <w:color w:val="auto"/>
                      <w:szCs w:val="21"/>
                      <w:u w:val="single"/>
                    </w:rPr>
                    <w:t>，以U型穿越，通风系统</w:t>
                  </w:r>
                  <w:r>
                    <w:rPr>
                      <w:rFonts w:hint="eastAsia" w:ascii="Times New Roman" w:hAnsi="Times New Roman" w:cs="Times New Roman"/>
                      <w:color w:val="auto"/>
                      <w:szCs w:val="21"/>
                      <w:u w:val="single"/>
                      <w:lang w:val="en-US" w:eastAsia="zh-CN"/>
                    </w:rPr>
                    <w:t>风机风量5000m</w:t>
                  </w:r>
                  <w:r>
                    <w:rPr>
                      <w:rFonts w:hint="eastAsia" w:ascii="Times New Roman" w:hAnsi="Times New Roman" w:cs="Times New Roman"/>
                      <w:color w:val="auto"/>
                      <w:szCs w:val="21"/>
                      <w:u w:val="single"/>
                      <w:vertAlign w:val="superscript"/>
                      <w:lang w:val="en-US" w:eastAsia="zh-CN"/>
                    </w:rPr>
                    <w:t>3</w:t>
                  </w:r>
                  <w:r>
                    <w:rPr>
                      <w:rFonts w:hint="eastAsia" w:ascii="Times New Roman" w:hAnsi="Times New Roman" w:cs="Times New Roman"/>
                      <w:color w:val="auto"/>
                      <w:szCs w:val="21"/>
                      <w:u w:val="single"/>
                      <w:lang w:val="en-US" w:eastAsia="zh-CN"/>
                    </w:rPr>
                    <w:t>/h，</w:t>
                  </w:r>
                  <w:r>
                    <w:rPr>
                      <w:rFonts w:hint="default" w:ascii="Times New Roman" w:hAnsi="Times New Roman" w:cs="Times New Roman"/>
                      <w:color w:val="auto"/>
                      <w:szCs w:val="21"/>
                      <w:u w:val="single"/>
                    </w:rPr>
                    <w:t>可保证换气量</w:t>
                  </w:r>
                  <w:r>
                    <w:rPr>
                      <w:rFonts w:hint="eastAsia" w:ascii="Times New Roman" w:hAnsi="Times New Roman" w:cs="Times New Roman"/>
                      <w:color w:val="auto"/>
                      <w:szCs w:val="21"/>
                      <w:u w:val="single"/>
                      <w:lang w:val="en-US" w:eastAsia="zh-CN"/>
                    </w:rPr>
                    <w:t>7</w:t>
                  </w:r>
                  <w:r>
                    <w:rPr>
                      <w:rFonts w:hint="default" w:ascii="Times New Roman" w:hAnsi="Times New Roman" w:cs="Times New Roman"/>
                      <w:color w:val="auto"/>
                      <w:szCs w:val="21"/>
                      <w:u w:val="single"/>
                    </w:rPr>
                    <w:t xml:space="preserve">次/h。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62" w:type="dxa"/>
                  <w:noWrap w:val="0"/>
                  <w:vAlign w:val="center"/>
                </w:tcPr>
                <w:p>
                  <w:pPr>
                    <w:pStyle w:val="53"/>
                    <w:rPr>
                      <w:rFonts w:hint="default" w:ascii="Times New Roman" w:hAnsi="Times New Roman" w:cs="Times New Roman"/>
                      <w:color w:val="auto"/>
                    </w:rPr>
                  </w:pPr>
                  <w:r>
                    <w:rPr>
                      <w:rFonts w:hint="default" w:ascii="Times New Roman" w:hAnsi="Times New Roman" w:cs="Times New Roman"/>
                      <w:color w:val="auto"/>
                    </w:rPr>
                    <w:t>应急开关</w:t>
                  </w:r>
                </w:p>
              </w:tc>
              <w:tc>
                <w:tcPr>
                  <w:tcW w:w="6008" w:type="dxa"/>
                  <w:noWrap w:val="0"/>
                  <w:vAlign w:val="top"/>
                </w:tcPr>
                <w:p>
                  <w:pPr>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u w:val="single"/>
                    </w:rPr>
                    <w:t>共配有5个急停按钮（探伤室四周墙体各1个，操作台1个，其中东、西侧墙体上的急停按钮应设置为长条形的拉杆式急停拉杆），急停按钮将带有标签，标明使用方法，安装在离地面 1米高的位置。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62" w:type="dxa"/>
                  <w:noWrap w:val="0"/>
                  <w:vAlign w:val="center"/>
                </w:tcPr>
                <w:p>
                  <w:pPr>
                    <w:pStyle w:val="53"/>
                    <w:rPr>
                      <w:rFonts w:hint="default" w:ascii="Times New Roman" w:hAnsi="Times New Roman" w:cs="Times New Roman"/>
                      <w:color w:val="auto"/>
                      <w:u w:val="single"/>
                    </w:rPr>
                  </w:pPr>
                  <w:r>
                    <w:rPr>
                      <w:rFonts w:hint="default" w:ascii="Times New Roman" w:hAnsi="Times New Roman" w:cs="Times New Roman"/>
                      <w:color w:val="auto"/>
                      <w:u w:val="none"/>
                    </w:rPr>
                    <w:t>控制台</w:t>
                  </w:r>
                </w:p>
              </w:tc>
              <w:tc>
                <w:tcPr>
                  <w:tcW w:w="6008" w:type="dxa"/>
                  <w:noWrap w:val="0"/>
                  <w:vAlign w:val="top"/>
                </w:tcPr>
                <w:p>
                  <w:pPr>
                    <w:ind w:firstLine="420" w:firstLineChars="200"/>
                    <w:rPr>
                      <w:rFonts w:hint="default" w:ascii="Times New Roman" w:hAnsi="Times New Roman" w:cs="Times New Roman"/>
                      <w:color w:val="auto"/>
                      <w:szCs w:val="21"/>
                      <w:u w:val="single"/>
                    </w:rPr>
                  </w:pPr>
                  <w:r>
                    <w:rPr>
                      <w:rFonts w:hint="default" w:ascii="Times New Roman" w:hAnsi="Times New Roman" w:cs="Times New Roman"/>
                      <w:color w:val="auto"/>
                      <w:szCs w:val="21"/>
                      <w:u w:val="none"/>
                    </w:rPr>
                    <w:t>设有X射线管电压及高压接通或断开状态的显示,以及管电压、管电流和照射时间选取及设定值显示装置；设有钥匙开关,只有在打开控制台钥匙开关后</w:t>
                  </w:r>
                  <w:r>
                    <w:rPr>
                      <w:rFonts w:hint="eastAsia" w:ascii="Times New Roman" w:hAnsi="Times New Roman" w:cs="Times New Roman"/>
                      <w:color w:val="auto"/>
                      <w:szCs w:val="21"/>
                      <w:u w:val="none"/>
                      <w:lang w:eastAsia="zh-CN"/>
                    </w:rPr>
                    <w:t>，</w:t>
                  </w:r>
                  <w:r>
                    <w:rPr>
                      <w:rFonts w:hint="default" w:ascii="Times New Roman" w:hAnsi="Times New Roman" w:cs="Times New Roman"/>
                      <w:color w:val="auto"/>
                      <w:szCs w:val="21"/>
                      <w:u w:val="none"/>
                    </w:rPr>
                    <w:t>X 射线管才能出束</w:t>
                  </w:r>
                  <w:r>
                    <w:rPr>
                      <w:rFonts w:hint="eastAsia" w:ascii="Times New Roman" w:hAnsi="Times New Roman" w:cs="Times New Roman"/>
                      <w:color w:val="auto"/>
                      <w:szCs w:val="21"/>
                      <w:u w:val="none"/>
                      <w:lang w:eastAsia="zh-CN"/>
                    </w:rPr>
                    <w:t>；</w:t>
                  </w:r>
                  <w:r>
                    <w:rPr>
                      <w:rFonts w:hint="default" w:ascii="Times New Roman" w:hAnsi="Times New Roman" w:cs="Times New Roman"/>
                      <w:color w:val="auto"/>
                      <w:szCs w:val="21"/>
                      <w:u w:val="none"/>
                    </w:rPr>
                    <w:t>钥匙只有在停机或待机状态时才能拔出。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62" w:type="dxa"/>
                  <w:noWrap w:val="0"/>
                  <w:vAlign w:val="center"/>
                </w:tcPr>
                <w:p>
                  <w:pPr>
                    <w:pStyle w:val="53"/>
                    <w:rPr>
                      <w:rFonts w:hint="default" w:ascii="Times New Roman" w:hAnsi="Times New Roman" w:cs="Times New Roman"/>
                      <w:color w:val="auto"/>
                    </w:rPr>
                  </w:pPr>
                  <w:r>
                    <w:rPr>
                      <w:rFonts w:hint="default" w:ascii="Times New Roman" w:hAnsi="Times New Roman" w:cs="Times New Roman"/>
                      <w:color w:val="auto"/>
                    </w:rPr>
                    <w:t>视频监视系统</w:t>
                  </w:r>
                </w:p>
              </w:tc>
              <w:tc>
                <w:tcPr>
                  <w:tcW w:w="6008" w:type="dxa"/>
                  <w:noWrap w:val="0"/>
                  <w:vAlign w:val="top"/>
                </w:tcPr>
                <w:p>
                  <w:pPr>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 xml:space="preserve">设有1套360°视频监视系统，对角设置两个摄像头。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62" w:type="dxa"/>
                  <w:noWrap w:val="0"/>
                  <w:vAlign w:val="center"/>
                </w:tcPr>
                <w:p>
                  <w:pPr>
                    <w:pStyle w:val="53"/>
                    <w:rPr>
                      <w:rFonts w:hint="default" w:ascii="Times New Roman" w:hAnsi="Times New Roman" w:cs="Times New Roman"/>
                      <w:color w:val="auto"/>
                    </w:rPr>
                  </w:pPr>
                  <w:r>
                    <w:rPr>
                      <w:rFonts w:hint="default" w:ascii="Times New Roman" w:hAnsi="Times New Roman" w:cs="Times New Roman"/>
                      <w:color w:val="auto"/>
                    </w:rPr>
                    <w:t>固定式剂量报警仪</w:t>
                  </w:r>
                </w:p>
              </w:tc>
              <w:tc>
                <w:tcPr>
                  <w:tcW w:w="6008" w:type="dxa"/>
                  <w:noWrap w:val="0"/>
                  <w:vAlign w:val="top"/>
                </w:tcPr>
                <w:p>
                  <w:pPr>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 xml:space="preserve">设有1台固定式剂量报警仪；采用特殊设计的前置放大电路，具有灵敏度高、操作方便、自动显示和超阈值报警等特点，能实时给出辐射剂量率。考虑到现场操作、应急快速响应的需要，主机安装在辐射现场,实现实时监测与就地报警。 </w:t>
                  </w:r>
                </w:p>
              </w:tc>
            </w:tr>
          </w:tbl>
          <w:p>
            <w:pPr>
              <w:pStyle w:val="42"/>
              <w:rPr>
                <w:color w:val="auto"/>
              </w:rPr>
            </w:pPr>
            <w:r>
              <w:rPr>
                <w:rFonts w:hint="eastAsia"/>
                <w:color w:val="auto"/>
              </w:rPr>
              <w:t>10.1.3安全操作及管理措施</w:t>
            </w:r>
          </w:p>
          <w:p>
            <w:pPr>
              <w:pStyle w:val="47"/>
              <w:rPr>
                <w:color w:val="auto"/>
              </w:rPr>
            </w:pPr>
            <w:r>
              <w:rPr>
                <w:rFonts w:hint="eastAsia"/>
                <w:color w:val="auto"/>
              </w:rPr>
              <w:t>（1）公司建立了完善的探伤操作规程、岗位制度、射线装置使用登记制度并张贴上墙，探伤工作人员必须熟悉探伤操作规程，并严格按照规程办事。</w:t>
            </w:r>
          </w:p>
          <w:p>
            <w:pPr>
              <w:pStyle w:val="47"/>
              <w:rPr>
                <w:color w:val="auto"/>
              </w:rPr>
            </w:pPr>
            <w:r>
              <w:rPr>
                <w:rFonts w:hint="eastAsia"/>
                <w:color w:val="auto"/>
              </w:rPr>
              <w:t>（2）公司配置有相应的管理人员及操作技术人员，上述工作人员经过考核合格后方可上岗。对辐射工作人员进行管理，定期开展辐射防护知识培训、个人剂量监测和职业健康体检。</w:t>
            </w:r>
          </w:p>
          <w:p>
            <w:pPr>
              <w:pStyle w:val="47"/>
              <w:rPr>
                <w:color w:val="auto"/>
              </w:rPr>
            </w:pPr>
            <w:r>
              <w:rPr>
                <w:rFonts w:hint="eastAsia"/>
                <w:color w:val="auto"/>
              </w:rPr>
              <w:t>公司拟设置辐射工作岗位</w:t>
            </w:r>
            <w:r>
              <w:rPr>
                <w:rFonts w:hint="eastAsia"/>
                <w:color w:val="auto"/>
                <w:lang w:val="en-US" w:eastAsia="zh-CN"/>
              </w:rPr>
              <w:t>2</w:t>
            </w:r>
            <w:r>
              <w:rPr>
                <w:rFonts w:hint="eastAsia"/>
                <w:color w:val="auto"/>
              </w:rPr>
              <w:t>人，承诺上岗前必须通过国家核技术利用辐射安全与防护培训平台核技术利用辐射安全与防护考核，做到所有从事辐射工作的人员均持证上岗。</w:t>
            </w:r>
          </w:p>
          <w:p>
            <w:pPr>
              <w:pStyle w:val="47"/>
              <w:rPr>
                <w:color w:val="auto"/>
              </w:rPr>
            </w:pPr>
            <w:r>
              <w:rPr>
                <w:rFonts w:hint="eastAsia"/>
                <w:color w:val="auto"/>
              </w:rPr>
              <w:t>（3）公司拟配置固定式剂量报警仪和便携式剂量报警仪，并计划定期进行环境辐射常规监测。</w:t>
            </w:r>
          </w:p>
          <w:p>
            <w:pPr>
              <w:pStyle w:val="47"/>
              <w:rPr>
                <w:color w:val="auto"/>
              </w:rPr>
            </w:pPr>
            <w:r>
              <w:rPr>
                <w:rFonts w:hint="eastAsia"/>
                <w:color w:val="auto"/>
              </w:rPr>
              <w:t>（4）操作人员应遵守各项操作规程，认真检查安全联锁，禁止任意去除安全联锁，严禁在去除可能导致人员伤亡的安全联锁的情况下开机。</w:t>
            </w:r>
          </w:p>
          <w:p>
            <w:pPr>
              <w:pStyle w:val="47"/>
              <w:rPr>
                <w:color w:val="auto"/>
              </w:rPr>
            </w:pPr>
            <w:r>
              <w:rPr>
                <w:rFonts w:hint="eastAsia"/>
                <w:color w:val="auto"/>
              </w:rPr>
              <w:t>（5）根据检测工件的厚度，合理选择探伤机曝光参数。</w:t>
            </w:r>
          </w:p>
          <w:p>
            <w:pPr>
              <w:pStyle w:val="47"/>
              <w:rPr>
                <w:rFonts w:hint="eastAsia"/>
                <w:color w:val="auto"/>
              </w:rPr>
            </w:pPr>
            <w:r>
              <w:rPr>
                <w:rFonts w:hint="eastAsia"/>
                <w:color w:val="auto"/>
              </w:rPr>
              <w:t>（6）探伤机日常放置在探伤室内，专人管理钥匙。</w:t>
            </w:r>
          </w:p>
          <w:p>
            <w:pPr>
              <w:pStyle w:val="47"/>
              <w:rPr>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7</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建设单位须尽快与有处理危废资质的单位签订处理协议，并建立危废台帐，记录危废产生量、处置量及去向，保证不对外环境造成影响。对临时储存显影液、定影液及废片采取防止泄漏等相关措施，不致因泄漏而外排。对盛装危险废物的容器上必须粘贴符合要求的标签、使用符合标准的容器盛装危险废物等。</w:t>
            </w:r>
          </w:p>
          <w:p>
            <w:pPr>
              <w:pStyle w:val="42"/>
              <w:rPr>
                <w:bCs/>
                <w:color w:val="auto"/>
              </w:rPr>
            </w:pPr>
            <w:r>
              <w:rPr>
                <w:rFonts w:hint="eastAsia"/>
                <w:color w:val="auto"/>
              </w:rPr>
              <w:t>10.1.4</w:t>
            </w:r>
            <w:r>
              <w:rPr>
                <w:rFonts w:hint="eastAsia"/>
                <w:bCs/>
                <w:color w:val="auto"/>
              </w:rPr>
              <w:t>防护用品</w:t>
            </w:r>
          </w:p>
          <w:p>
            <w:pPr>
              <w:pStyle w:val="47"/>
              <w:rPr>
                <w:color w:val="auto"/>
              </w:rPr>
            </w:pPr>
            <w:r>
              <w:rPr>
                <w:rFonts w:hint="eastAsia"/>
                <w:color w:val="auto"/>
              </w:rPr>
              <w:t>根据相关要求及环评建议，本项目需配备防护用品见下表。</w:t>
            </w:r>
          </w:p>
          <w:p>
            <w:pPr>
              <w:pStyle w:val="49"/>
              <w:rPr>
                <w:color w:val="auto"/>
              </w:rPr>
            </w:pPr>
            <w:r>
              <w:rPr>
                <w:rFonts w:hint="eastAsia"/>
                <w:color w:val="auto"/>
              </w:rPr>
              <w:t>10-2本项目防护用品清单一览表</w:t>
            </w:r>
          </w:p>
          <w:tbl>
            <w:tblPr>
              <w:tblStyle w:val="23"/>
              <w:tblW w:w="793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06"/>
              <w:gridCol w:w="2552"/>
              <w:gridCol w:w="12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06" w:type="dxa"/>
                  <w:noWrap w:val="0"/>
                  <w:vAlign w:val="center"/>
                </w:tcPr>
                <w:p>
                  <w:pPr>
                    <w:pStyle w:val="53"/>
                    <w:rPr>
                      <w:color w:val="auto"/>
                    </w:rPr>
                  </w:pPr>
                  <w:r>
                    <w:rPr>
                      <w:rFonts w:hint="eastAsia"/>
                      <w:color w:val="auto"/>
                    </w:rPr>
                    <w:t>防护用品名称</w:t>
                  </w:r>
                </w:p>
              </w:tc>
              <w:tc>
                <w:tcPr>
                  <w:tcW w:w="2552" w:type="dxa"/>
                  <w:noWrap w:val="0"/>
                  <w:vAlign w:val="center"/>
                </w:tcPr>
                <w:p>
                  <w:pPr>
                    <w:pStyle w:val="53"/>
                    <w:rPr>
                      <w:color w:val="auto"/>
                    </w:rPr>
                  </w:pPr>
                  <w:r>
                    <w:rPr>
                      <w:rFonts w:hint="eastAsia"/>
                      <w:color w:val="auto"/>
                    </w:rPr>
                    <w:t>数量</w:t>
                  </w:r>
                </w:p>
              </w:tc>
              <w:tc>
                <w:tcPr>
                  <w:tcW w:w="1275" w:type="dxa"/>
                  <w:noWrap w:val="0"/>
                  <w:vAlign w:val="center"/>
                </w:tcPr>
                <w:p>
                  <w:pPr>
                    <w:pStyle w:val="53"/>
                    <w:rPr>
                      <w:color w:val="auto"/>
                    </w:rPr>
                  </w:pPr>
                  <w:r>
                    <w:rPr>
                      <w:rFonts w:hint="eastAsia"/>
                      <w:color w:val="auto"/>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06" w:type="dxa"/>
                  <w:noWrap w:val="0"/>
                  <w:vAlign w:val="center"/>
                </w:tcPr>
                <w:p>
                  <w:pPr>
                    <w:pStyle w:val="53"/>
                    <w:rPr>
                      <w:color w:val="auto"/>
                    </w:rPr>
                  </w:pPr>
                  <w:r>
                    <w:rPr>
                      <w:rFonts w:hint="eastAsia"/>
                      <w:color w:val="auto"/>
                    </w:rPr>
                    <w:t>便携式</w:t>
                  </w:r>
                  <w:r>
                    <w:rPr>
                      <w:rFonts w:hint="default" w:ascii="Times New Roman" w:hAnsi="Times New Roman" w:cs="Times New Roman"/>
                      <w:color w:val="auto"/>
                    </w:rPr>
                    <w:t>X－γ射</w:t>
                  </w:r>
                  <w:r>
                    <w:rPr>
                      <w:rFonts w:hint="eastAsia"/>
                      <w:color w:val="auto"/>
                    </w:rPr>
                    <w:t>线剂量率测量仪</w:t>
                  </w:r>
                </w:p>
              </w:tc>
              <w:tc>
                <w:tcPr>
                  <w:tcW w:w="2552" w:type="dxa"/>
                  <w:noWrap w:val="0"/>
                  <w:vAlign w:val="center"/>
                </w:tcPr>
                <w:p>
                  <w:pPr>
                    <w:pStyle w:val="53"/>
                    <w:rPr>
                      <w:color w:val="auto"/>
                    </w:rPr>
                  </w:pPr>
                  <w:r>
                    <w:rPr>
                      <w:rFonts w:hint="eastAsia"/>
                      <w:color w:val="auto"/>
                    </w:rPr>
                    <w:t>1台</w:t>
                  </w:r>
                </w:p>
              </w:tc>
              <w:tc>
                <w:tcPr>
                  <w:tcW w:w="1275" w:type="dxa"/>
                  <w:noWrap w:val="0"/>
                  <w:vAlign w:val="center"/>
                </w:tcPr>
                <w:p>
                  <w:pPr>
                    <w:pStyle w:val="53"/>
                    <w:rPr>
                      <w:color w:val="auto"/>
                    </w:rPr>
                  </w:pPr>
                  <w:r>
                    <w:rPr>
                      <w:rFonts w:hint="eastAsia"/>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06" w:type="dxa"/>
                  <w:noWrap w:val="0"/>
                  <w:vAlign w:val="center"/>
                </w:tcPr>
                <w:p>
                  <w:pPr>
                    <w:pStyle w:val="53"/>
                    <w:rPr>
                      <w:color w:val="auto"/>
                    </w:rPr>
                  </w:pPr>
                  <w:r>
                    <w:rPr>
                      <w:rFonts w:hint="eastAsia"/>
                      <w:color w:val="auto"/>
                    </w:rPr>
                    <w:t>固定式剂量报警仪</w:t>
                  </w:r>
                </w:p>
              </w:tc>
              <w:tc>
                <w:tcPr>
                  <w:tcW w:w="2552" w:type="dxa"/>
                  <w:noWrap w:val="0"/>
                  <w:vAlign w:val="center"/>
                </w:tcPr>
                <w:p>
                  <w:pPr>
                    <w:pStyle w:val="53"/>
                    <w:rPr>
                      <w:color w:val="auto"/>
                    </w:rPr>
                  </w:pPr>
                  <w:r>
                    <w:rPr>
                      <w:rFonts w:hint="eastAsia"/>
                      <w:color w:val="auto"/>
                    </w:rPr>
                    <w:t>1台</w:t>
                  </w:r>
                </w:p>
              </w:tc>
              <w:tc>
                <w:tcPr>
                  <w:tcW w:w="1275" w:type="dxa"/>
                  <w:noWrap w:val="0"/>
                  <w:vAlign w:val="center"/>
                </w:tcPr>
                <w:p>
                  <w:pPr>
                    <w:pStyle w:val="53"/>
                    <w:rPr>
                      <w:color w:val="auto"/>
                    </w:rPr>
                  </w:pPr>
                  <w:r>
                    <w:rPr>
                      <w:rFonts w:hint="eastAsia"/>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06" w:type="dxa"/>
                  <w:noWrap w:val="0"/>
                  <w:vAlign w:val="center"/>
                </w:tcPr>
                <w:p>
                  <w:pPr>
                    <w:pStyle w:val="53"/>
                    <w:rPr>
                      <w:color w:val="auto"/>
                    </w:rPr>
                  </w:pPr>
                  <w:r>
                    <w:rPr>
                      <w:rFonts w:hint="eastAsia"/>
                      <w:color w:val="auto"/>
                    </w:rPr>
                    <w:t>便携式剂量报警仪</w:t>
                  </w:r>
                </w:p>
              </w:tc>
              <w:tc>
                <w:tcPr>
                  <w:tcW w:w="2552" w:type="dxa"/>
                  <w:noWrap w:val="0"/>
                  <w:vAlign w:val="center"/>
                </w:tcPr>
                <w:p>
                  <w:pPr>
                    <w:pStyle w:val="53"/>
                    <w:rPr>
                      <w:color w:val="auto"/>
                    </w:rPr>
                  </w:pPr>
                  <w:r>
                    <w:rPr>
                      <w:rFonts w:hint="eastAsia"/>
                      <w:color w:val="auto"/>
                      <w:lang w:val="en-US" w:eastAsia="zh-CN"/>
                    </w:rPr>
                    <w:t>2</w:t>
                  </w:r>
                  <w:r>
                    <w:rPr>
                      <w:rFonts w:hint="eastAsia"/>
                      <w:color w:val="auto"/>
                    </w:rPr>
                    <w:t>个</w:t>
                  </w:r>
                </w:p>
              </w:tc>
              <w:tc>
                <w:tcPr>
                  <w:tcW w:w="1275" w:type="dxa"/>
                  <w:noWrap w:val="0"/>
                  <w:vAlign w:val="center"/>
                </w:tcPr>
                <w:p>
                  <w:pPr>
                    <w:pStyle w:val="53"/>
                    <w:rPr>
                      <w:color w:val="auto"/>
                    </w:rPr>
                  </w:pPr>
                  <w:r>
                    <w:rPr>
                      <w:rFonts w:hint="eastAsia"/>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06" w:type="dxa"/>
                  <w:noWrap w:val="0"/>
                  <w:vAlign w:val="center"/>
                </w:tcPr>
                <w:p>
                  <w:pPr>
                    <w:pStyle w:val="53"/>
                    <w:rPr>
                      <w:color w:val="auto"/>
                    </w:rPr>
                  </w:pPr>
                  <w:r>
                    <w:rPr>
                      <w:rFonts w:hint="eastAsia"/>
                      <w:color w:val="auto"/>
                    </w:rPr>
                    <w:t>个人剂量计</w:t>
                  </w:r>
                </w:p>
              </w:tc>
              <w:tc>
                <w:tcPr>
                  <w:tcW w:w="2552" w:type="dxa"/>
                  <w:noWrap w:val="0"/>
                  <w:vAlign w:val="center"/>
                </w:tcPr>
                <w:p>
                  <w:pPr>
                    <w:pStyle w:val="53"/>
                    <w:rPr>
                      <w:color w:val="auto"/>
                    </w:rPr>
                  </w:pPr>
                  <w:r>
                    <w:rPr>
                      <w:rFonts w:hint="eastAsia"/>
                      <w:color w:val="auto"/>
                      <w:lang w:val="en-US" w:eastAsia="zh-CN"/>
                    </w:rPr>
                    <w:t>2</w:t>
                  </w:r>
                  <w:r>
                    <w:rPr>
                      <w:rFonts w:hint="eastAsia"/>
                      <w:color w:val="auto"/>
                    </w:rPr>
                    <w:t>个</w:t>
                  </w:r>
                </w:p>
              </w:tc>
              <w:tc>
                <w:tcPr>
                  <w:tcW w:w="1275" w:type="dxa"/>
                  <w:noWrap w:val="0"/>
                  <w:vAlign w:val="center"/>
                </w:tcPr>
                <w:p>
                  <w:pPr>
                    <w:pStyle w:val="53"/>
                    <w:rPr>
                      <w:color w:val="auto"/>
                    </w:rPr>
                  </w:pPr>
                  <w:r>
                    <w:rPr>
                      <w:rFonts w:hint="eastAsia"/>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06" w:type="dxa"/>
                  <w:noWrap w:val="0"/>
                  <w:vAlign w:val="center"/>
                </w:tcPr>
                <w:p>
                  <w:pPr>
                    <w:pStyle w:val="53"/>
                    <w:rPr>
                      <w:color w:val="auto"/>
                    </w:rPr>
                  </w:pPr>
                  <w:r>
                    <w:rPr>
                      <w:rFonts w:hint="eastAsia"/>
                      <w:color w:val="auto"/>
                    </w:rPr>
                    <w:t>视频监控系统</w:t>
                  </w:r>
                </w:p>
              </w:tc>
              <w:tc>
                <w:tcPr>
                  <w:tcW w:w="2552" w:type="dxa"/>
                  <w:noWrap w:val="0"/>
                  <w:vAlign w:val="center"/>
                </w:tcPr>
                <w:p>
                  <w:pPr>
                    <w:pStyle w:val="53"/>
                    <w:rPr>
                      <w:color w:val="auto"/>
                    </w:rPr>
                  </w:pPr>
                  <w:r>
                    <w:rPr>
                      <w:rFonts w:hint="eastAsia"/>
                      <w:color w:val="auto"/>
                    </w:rPr>
                    <w:t>1套</w:t>
                  </w:r>
                </w:p>
              </w:tc>
              <w:tc>
                <w:tcPr>
                  <w:tcW w:w="1275" w:type="dxa"/>
                  <w:noWrap w:val="0"/>
                  <w:vAlign w:val="center"/>
                </w:tcPr>
                <w:p>
                  <w:pPr>
                    <w:pStyle w:val="53"/>
                    <w:rPr>
                      <w:color w:val="auto"/>
                    </w:rPr>
                  </w:pPr>
                  <w:r>
                    <w:rPr>
                      <w:rFonts w:hint="eastAsia"/>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06" w:type="dxa"/>
                  <w:noWrap w:val="0"/>
                  <w:vAlign w:val="center"/>
                </w:tcPr>
                <w:p>
                  <w:pPr>
                    <w:pStyle w:val="53"/>
                    <w:rPr>
                      <w:color w:val="auto"/>
                    </w:rPr>
                  </w:pPr>
                  <w:r>
                    <w:rPr>
                      <w:rFonts w:hint="eastAsia"/>
                      <w:color w:val="auto"/>
                    </w:rPr>
                    <w:t>辐射警示标识</w:t>
                  </w:r>
                </w:p>
              </w:tc>
              <w:tc>
                <w:tcPr>
                  <w:tcW w:w="2552" w:type="dxa"/>
                  <w:noWrap w:val="0"/>
                  <w:vAlign w:val="center"/>
                </w:tcPr>
                <w:p>
                  <w:pPr>
                    <w:pStyle w:val="53"/>
                    <w:rPr>
                      <w:color w:val="auto"/>
                    </w:rPr>
                  </w:pPr>
                  <w:r>
                    <w:rPr>
                      <w:color w:val="auto"/>
                    </w:rPr>
                    <w:t>若干</w:t>
                  </w:r>
                </w:p>
              </w:tc>
              <w:tc>
                <w:tcPr>
                  <w:tcW w:w="1275" w:type="dxa"/>
                  <w:noWrap w:val="0"/>
                  <w:vAlign w:val="center"/>
                </w:tcPr>
                <w:p>
                  <w:pPr>
                    <w:pStyle w:val="53"/>
                    <w:rPr>
                      <w:color w:val="auto"/>
                    </w:rPr>
                  </w:pPr>
                  <w:r>
                    <w:rPr>
                      <w:rFonts w:hint="eastAsia"/>
                      <w:color w:val="auto"/>
                    </w:rPr>
                    <w:t>/</w:t>
                  </w:r>
                </w:p>
              </w:tc>
            </w:tr>
          </w:tbl>
          <w:p>
            <w:pPr>
              <w:pStyle w:val="45"/>
              <w:spacing w:before="156" w:after="156"/>
              <w:rPr>
                <w:color w:val="auto"/>
              </w:rPr>
            </w:pPr>
            <w:r>
              <w:rPr>
                <w:rFonts w:hint="eastAsia"/>
                <w:color w:val="auto"/>
              </w:rPr>
              <w:t>10.2三废治理</w:t>
            </w:r>
          </w:p>
          <w:p>
            <w:pPr>
              <w:pStyle w:val="42"/>
              <w:rPr>
                <w:color w:val="auto"/>
              </w:rPr>
            </w:pPr>
            <w:r>
              <w:rPr>
                <w:rFonts w:hint="eastAsia"/>
                <w:color w:val="auto"/>
              </w:rPr>
              <w:t>（</w:t>
            </w:r>
            <w:r>
              <w:rPr>
                <w:color w:val="auto"/>
              </w:rPr>
              <w:t>1</w:t>
            </w:r>
            <w:r>
              <w:rPr>
                <w:rFonts w:hint="eastAsia"/>
                <w:color w:val="auto"/>
              </w:rPr>
              <w:t>）废水治理措施</w:t>
            </w:r>
          </w:p>
          <w:p>
            <w:pPr>
              <w:pStyle w:val="47"/>
              <w:rPr>
                <w:color w:val="auto"/>
              </w:rPr>
            </w:pPr>
            <w:r>
              <w:rPr>
                <w:rFonts w:hint="eastAsia" w:ascii="宋体" w:hAnsi="宋体" w:cs="宋体"/>
                <w:color w:val="auto"/>
                <w:kern w:val="0"/>
              </w:rPr>
              <w:t>辐射工作人员的生活污水依托厂区已建的污水处理设施处理，</w:t>
            </w:r>
            <w:r>
              <w:rPr>
                <w:rFonts w:hint="eastAsia"/>
                <w:color w:val="auto"/>
              </w:rPr>
              <w:t>项目辐射工作人员定员已经考虑在公司的整个劳动定员中，因此，辐射工作人员产生的生活污水、生活垃圾等均依托整个公司处理，本次评价均不再单独考虑。</w:t>
            </w:r>
          </w:p>
          <w:p>
            <w:pPr>
              <w:pStyle w:val="42"/>
              <w:rPr>
                <w:color w:val="auto"/>
              </w:rPr>
            </w:pPr>
            <w:r>
              <w:rPr>
                <w:rFonts w:hint="eastAsia"/>
                <w:color w:val="auto"/>
              </w:rPr>
              <w:t>（2）废气治理措施</w:t>
            </w:r>
          </w:p>
          <w:p>
            <w:pPr>
              <w:pStyle w:val="47"/>
              <w:rPr>
                <w:color w:val="auto"/>
              </w:rPr>
            </w:pPr>
            <w:r>
              <w:rPr>
                <w:rFonts w:hint="eastAsia"/>
                <w:color w:val="auto"/>
              </w:rPr>
              <w:t>在探伤作业时，X射线使空气电离产生少量臭氧（O</w:t>
            </w:r>
            <w:r>
              <w:rPr>
                <w:rFonts w:hint="eastAsia"/>
                <w:color w:val="auto"/>
                <w:vertAlign w:val="subscript"/>
              </w:rPr>
              <w:t>3</w:t>
            </w:r>
            <w:r>
              <w:rPr>
                <w:rFonts w:hint="eastAsia"/>
                <w:color w:val="auto"/>
              </w:rPr>
              <w:t>）和氮氧化物（主要为NO</w:t>
            </w:r>
            <w:r>
              <w:rPr>
                <w:rFonts w:hint="eastAsia"/>
                <w:color w:val="auto"/>
                <w:vertAlign w:val="subscript"/>
              </w:rPr>
              <w:t>2</w:t>
            </w:r>
            <w:r>
              <w:rPr>
                <w:rFonts w:hint="eastAsia"/>
                <w:color w:val="auto"/>
              </w:rPr>
              <w:t>），探伤室设置有机械通风装置（每小时有效通风换气次数</w:t>
            </w:r>
            <w:r>
              <w:rPr>
                <w:rFonts w:hint="eastAsia"/>
                <w:color w:val="auto"/>
                <w:lang w:val="en-US" w:eastAsia="zh-CN"/>
              </w:rPr>
              <w:t>5</w:t>
            </w:r>
            <w:r>
              <w:rPr>
                <w:rFonts w:hint="eastAsia"/>
                <w:color w:val="auto"/>
              </w:rPr>
              <w:t>次）保证室内空气流通，使曝光过程中产生的臭氧及氮氧化物自然扩散后对环境的影响较小。</w:t>
            </w:r>
          </w:p>
          <w:p>
            <w:pPr>
              <w:pStyle w:val="42"/>
              <w:rPr>
                <w:color w:val="auto"/>
              </w:rPr>
            </w:pPr>
            <w:r>
              <w:rPr>
                <w:rFonts w:hint="eastAsia"/>
                <w:color w:val="auto"/>
              </w:rPr>
              <w:t>（3）固体废弃物防治措施</w:t>
            </w:r>
          </w:p>
          <w:p>
            <w:pPr>
              <w:pStyle w:val="47"/>
              <w:rPr>
                <w:rFonts w:hint="eastAsia"/>
                <w:color w:val="auto"/>
              </w:rPr>
            </w:pPr>
            <w:r>
              <w:rPr>
                <w:rFonts w:hint="eastAsia"/>
                <w:color w:val="auto"/>
              </w:rPr>
              <w:t>一般固废：生活垃圾交由环卫部门处理；报废探伤机去功能化措施后回收。</w:t>
            </w:r>
          </w:p>
          <w:p>
            <w:pPr>
              <w:pStyle w:val="47"/>
              <w:rPr>
                <w:color w:val="000000" w:themeColor="text1"/>
                <w14:textFill>
                  <w14:solidFill>
                    <w14:schemeClr w14:val="tx1"/>
                  </w14:solidFill>
                </w14:textFill>
              </w:rPr>
            </w:pPr>
            <w:r>
              <w:rPr>
                <w:rFonts w:hint="eastAsia"/>
                <w:color w:val="000000" w:themeColor="text1"/>
                <w14:textFill>
                  <w14:solidFill>
                    <w14:schemeClr w14:val="tx1"/>
                  </w14:solidFill>
                </w14:textFill>
              </w:rPr>
              <w:t>危险废物：公司探伤过程中产生的废胶片和存档到期的胶片属于危险废物，废片存放于收纳箱放置于控制室危废暂存区定期交由有危废处理资质收集后统一处理。公司需建立危废台帐，记录危废产生量、处置量及去向，并按照危险废物五联单制度进行管理，保证不对外环境造成影响。洗片过程产生废定影液、显影液（属危险废物，产生量约为</w:t>
            </w:r>
            <w:r>
              <w:rPr>
                <w:rFonts w:hint="eastAsia"/>
                <w:color w:val="000000" w:themeColor="text1"/>
                <w:lang w:val="en-US" w:eastAsia="zh-CN"/>
                <w14:textFill>
                  <w14:solidFill>
                    <w14:schemeClr w14:val="tx1"/>
                  </w14:solidFill>
                </w14:textFill>
              </w:rPr>
              <w:t>0.2</w:t>
            </w:r>
            <w:r>
              <w:rPr>
                <w:rFonts w:hint="eastAsia"/>
                <w:color w:val="000000" w:themeColor="text1"/>
                <w14:textFill>
                  <w14:solidFill>
                    <w14:schemeClr w14:val="tx1"/>
                  </w14:solidFill>
                </w14:textFill>
              </w:rPr>
              <w:t>t/a）、清洗胶片的低浓度废水（</w:t>
            </w:r>
            <w:r>
              <w:rPr>
                <w:rFonts w:hint="eastAsia"/>
                <w:color w:val="000000" w:themeColor="text1"/>
                <w:lang w:val="en-US" w:eastAsia="zh-CN"/>
                <w14:textFill>
                  <w14:solidFill>
                    <w14:schemeClr w14:val="tx1"/>
                  </w14:solidFill>
                </w14:textFill>
              </w:rPr>
              <w:t>0.2</w:t>
            </w:r>
            <w:r>
              <w:rPr>
                <w:rFonts w:hint="eastAsia"/>
                <w:color w:val="000000" w:themeColor="text1"/>
                <w14:textFill>
                  <w14:solidFill>
                    <w14:schemeClr w14:val="tx1"/>
                  </w14:solidFill>
                </w14:textFill>
              </w:rPr>
              <w:t>t/a），分别储存于具有醒目标志的废液桶中放置于危废暂存区、收集后定期交由有危废处理资质单位收集后统一处理。公司应建立危废台帐，记录危废产生量、处置量及去向，并按照危险废物转移联单制度进行管理。</w:t>
            </w:r>
          </w:p>
          <w:p>
            <w:pPr>
              <w:pStyle w:val="47"/>
              <w:rPr>
                <w:color w:val="000000" w:themeColor="text1"/>
                <w14:textFill>
                  <w14:solidFill>
                    <w14:schemeClr w14:val="tx1"/>
                  </w14:solidFill>
                </w14:textFill>
              </w:rPr>
            </w:pPr>
            <w:r>
              <w:rPr>
                <w:color w:val="000000" w:themeColor="text1"/>
                <w14:textFill>
                  <w14:solidFill>
                    <w14:schemeClr w14:val="tx1"/>
                  </w14:solidFill>
                </w14:textFill>
              </w:rPr>
              <w:t>危废暂存去严格按照</w:t>
            </w:r>
            <w:r>
              <w:rPr>
                <w:rFonts w:hint="eastAsia"/>
                <w:color w:val="000000" w:themeColor="text1"/>
                <w14:textFill>
                  <w14:solidFill>
                    <w14:schemeClr w14:val="tx1"/>
                  </w14:solidFill>
                </w14:textFill>
              </w:rPr>
              <w:t>《危险废物贮存污染控制标准》（GB18597-2001）及2013年修改单的要求建设，落实基础防渗，并按照相关规定设置警示标识。</w:t>
            </w:r>
          </w:p>
          <w:p>
            <w:pPr>
              <w:pStyle w:val="45"/>
              <w:spacing w:before="156" w:after="156"/>
              <w:rPr>
                <w:color w:val="auto"/>
              </w:rPr>
            </w:pPr>
            <w:r>
              <w:rPr>
                <w:rFonts w:hint="eastAsia"/>
                <w:color w:val="auto"/>
              </w:rPr>
              <w:t>10.3项目措施与相关要求的符合性分析</w:t>
            </w:r>
          </w:p>
          <w:p>
            <w:pPr>
              <w:pStyle w:val="47"/>
              <w:rPr>
                <w:color w:val="auto"/>
              </w:rPr>
            </w:pPr>
            <w:r>
              <w:rPr>
                <w:rFonts w:hint="eastAsia"/>
                <w:color w:val="auto"/>
              </w:rPr>
              <w:t>根据上文介绍，项目采取了一定的辐射防护措施，其与相关标准和规范的相关要求对比情况见表10-3所示。</w:t>
            </w:r>
          </w:p>
        </w:tc>
      </w:tr>
    </w:tbl>
    <w:p>
      <w:pPr>
        <w:pStyle w:val="51"/>
        <w:rPr>
          <w:color w:val="auto"/>
        </w:rPr>
        <w:sectPr>
          <w:pgSz w:w="11906" w:h="16838"/>
          <w:pgMar w:top="1440" w:right="1800" w:bottom="1440" w:left="1800" w:header="851" w:footer="992" w:gutter="0"/>
          <w:cols w:space="720" w:num="1"/>
          <w:docGrid w:type="lines" w:linePitch="312" w:charSpace="0"/>
        </w:sectPr>
      </w:pP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4" w:type="dxa"/>
            <w:noWrap w:val="0"/>
            <w:vAlign w:val="top"/>
          </w:tcPr>
          <w:p>
            <w:pPr>
              <w:pStyle w:val="49"/>
              <w:rPr>
                <w:color w:val="auto"/>
              </w:rPr>
            </w:pPr>
            <w:r>
              <w:rPr>
                <w:rFonts w:hint="eastAsia"/>
                <w:color w:val="auto"/>
              </w:rPr>
              <w:t>表</w:t>
            </w:r>
            <w:r>
              <w:rPr>
                <w:rFonts w:ascii="TimesNewRomanPS-BoldMT" w:hAnsi="TimesNewRomanPS-BoldMT"/>
                <w:color w:val="auto"/>
              </w:rPr>
              <w:t>10-3</w:t>
            </w:r>
            <w:r>
              <w:rPr>
                <w:rFonts w:hint="eastAsia"/>
                <w:color w:val="auto"/>
              </w:rPr>
              <w:t>项目辐射防护措施与标准要求对比情况表</w:t>
            </w:r>
          </w:p>
          <w:tbl>
            <w:tblPr>
              <w:tblStyle w:val="23"/>
              <w:tblW w:w="192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6"/>
              <w:gridCol w:w="1276"/>
              <w:gridCol w:w="5670"/>
              <w:gridCol w:w="5306"/>
              <w:gridCol w:w="53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96" w:type="dxa"/>
                  <w:noWrap w:val="0"/>
                  <w:vAlign w:val="center"/>
                </w:tcPr>
                <w:p>
                  <w:pPr>
                    <w:pStyle w:val="53"/>
                    <w:rPr>
                      <w:rFonts w:hint="default" w:ascii="Times New Roman" w:hAnsi="Times New Roman" w:cs="Times New Roman"/>
                      <w:b/>
                      <w:color w:val="auto"/>
                    </w:rPr>
                  </w:pPr>
                  <w:r>
                    <w:rPr>
                      <w:rFonts w:hint="default" w:ascii="Times New Roman" w:hAnsi="Times New Roman" w:cs="Times New Roman"/>
                      <w:b/>
                      <w:bCs/>
                      <w:color w:val="auto"/>
                    </w:rPr>
                    <w:t>标准名称</w:t>
                  </w:r>
                </w:p>
              </w:tc>
              <w:tc>
                <w:tcPr>
                  <w:tcW w:w="6946" w:type="dxa"/>
                  <w:gridSpan w:val="2"/>
                  <w:noWrap w:val="0"/>
                  <w:vAlign w:val="center"/>
                </w:tcPr>
                <w:p>
                  <w:pPr>
                    <w:pStyle w:val="53"/>
                    <w:rPr>
                      <w:rFonts w:hint="default" w:ascii="Times New Roman" w:hAnsi="Times New Roman" w:cs="Times New Roman"/>
                      <w:b/>
                      <w:color w:val="auto"/>
                    </w:rPr>
                  </w:pPr>
                  <w:r>
                    <w:rPr>
                      <w:rFonts w:hint="default" w:ascii="Times New Roman" w:hAnsi="Times New Roman" w:cs="Times New Roman"/>
                      <w:b/>
                      <w:color w:val="auto"/>
                    </w:rPr>
                    <w:t>标准要求</w:t>
                  </w:r>
                </w:p>
              </w:tc>
              <w:tc>
                <w:tcPr>
                  <w:tcW w:w="5306" w:type="dxa"/>
                  <w:noWrap w:val="0"/>
                  <w:vAlign w:val="center"/>
                </w:tcPr>
                <w:p>
                  <w:pPr>
                    <w:pStyle w:val="53"/>
                    <w:rPr>
                      <w:rFonts w:hint="default" w:ascii="Times New Roman" w:hAnsi="Times New Roman" w:cs="Times New Roman"/>
                      <w:b/>
                      <w:color w:val="auto"/>
                    </w:rPr>
                  </w:pPr>
                  <w:r>
                    <w:rPr>
                      <w:rFonts w:hint="default" w:ascii="Times New Roman" w:hAnsi="Times New Roman" w:cs="Times New Roman"/>
                      <w:b/>
                      <w:color w:val="auto"/>
                    </w:rPr>
                    <w:t>项目情况</w:t>
                  </w:r>
                </w:p>
              </w:tc>
              <w:tc>
                <w:tcPr>
                  <w:tcW w:w="5306" w:type="dxa"/>
                  <w:noWrap w:val="0"/>
                  <w:vAlign w:val="center"/>
                </w:tcPr>
                <w:p>
                  <w:pPr>
                    <w:pStyle w:val="53"/>
                    <w:rPr>
                      <w:rFonts w:hint="default" w:ascii="Times New Roman" w:hAnsi="Times New Roman" w:cs="Times New Roman"/>
                      <w:b/>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vMerge w:val="restart"/>
                  <w:noWrap w:val="0"/>
                  <w:vAlign w:val="center"/>
                </w:tcPr>
                <w:p>
                  <w:pPr>
                    <w:pStyle w:val="53"/>
                    <w:rPr>
                      <w:rFonts w:hint="default" w:ascii="Times New Roman" w:hAnsi="Times New Roman" w:cs="Times New Roman"/>
                      <w:color w:val="auto"/>
                    </w:rPr>
                  </w:pPr>
                  <w:r>
                    <w:rPr>
                      <w:rFonts w:hint="default" w:ascii="Times New Roman" w:hAnsi="Times New Roman" w:cs="Times New Roman"/>
                      <w:color w:val="auto"/>
                      <w:kern w:val="0"/>
                    </w:rPr>
                    <w:t>《工业X射线探伤放射防护要求》（GBZ117-2015）</w:t>
                  </w:r>
                </w:p>
              </w:tc>
              <w:tc>
                <w:tcPr>
                  <w:tcW w:w="1276" w:type="dxa"/>
                  <w:vMerge w:val="restart"/>
                  <w:noWrap w:val="0"/>
                  <w:vAlign w:val="center"/>
                </w:tcPr>
                <w:p>
                  <w:pPr>
                    <w:pStyle w:val="53"/>
                    <w:jc w:val="both"/>
                    <w:rPr>
                      <w:rFonts w:hint="default" w:ascii="Times New Roman" w:hAnsi="Times New Roman" w:cs="Times New Roman"/>
                      <w:color w:val="auto"/>
                      <w:kern w:val="0"/>
                    </w:rPr>
                  </w:pPr>
                  <w:r>
                    <w:rPr>
                      <w:rFonts w:hint="default" w:ascii="Times New Roman" w:hAnsi="Times New Roman" w:cs="Times New Roman"/>
                      <w:color w:val="auto"/>
                      <w:kern w:val="0"/>
                    </w:rPr>
                    <w:t>3.1设备技术要求</w:t>
                  </w:r>
                </w:p>
                <w:p>
                  <w:pPr>
                    <w:pStyle w:val="53"/>
                    <w:jc w:val="both"/>
                    <w:rPr>
                      <w:rFonts w:hint="default" w:ascii="Times New Roman" w:hAnsi="Times New Roman" w:cs="Times New Roman"/>
                      <w:color w:val="auto"/>
                      <w:kern w:val="0"/>
                    </w:rPr>
                  </w:pPr>
                  <w:r>
                    <w:rPr>
                      <w:rFonts w:hint="default" w:ascii="Times New Roman" w:hAnsi="Times New Roman" w:cs="Times New Roman"/>
                      <w:color w:val="auto"/>
                      <w:kern w:val="0"/>
                    </w:rPr>
                    <w:t>3.1.2控制台</w:t>
                  </w:r>
                </w:p>
              </w:tc>
              <w:tc>
                <w:tcPr>
                  <w:tcW w:w="5670" w:type="dxa"/>
                  <w:noWrap w:val="0"/>
                  <w:vAlign w:val="center"/>
                </w:tcPr>
                <w:p>
                  <w:pPr>
                    <w:pStyle w:val="53"/>
                    <w:ind w:firstLine="420" w:firstLineChars="200"/>
                    <w:jc w:val="both"/>
                    <w:rPr>
                      <w:rFonts w:hint="default" w:ascii="Times New Roman" w:hAnsi="Times New Roman" w:cs="Times New Roman"/>
                      <w:color w:val="auto"/>
                      <w:kern w:val="0"/>
                    </w:rPr>
                  </w:pPr>
                  <w:r>
                    <w:rPr>
                      <w:rFonts w:hint="default" w:ascii="Times New Roman" w:hAnsi="Times New Roman" w:cs="Times New Roman"/>
                      <w:color w:val="auto"/>
                      <w:kern w:val="0"/>
                    </w:rPr>
                    <w:t>3.1.2.1应设置有 X射线管电压及高压接通或断开状态的显示,以及管电压、管电流和照射时间选取及设定值显示装置</w:t>
                  </w:r>
                </w:p>
              </w:tc>
              <w:tc>
                <w:tcPr>
                  <w:tcW w:w="5306" w:type="dxa"/>
                  <w:noWrap w:val="0"/>
                  <w:vAlign w:val="center"/>
                </w:tcPr>
                <w:p>
                  <w:pPr>
                    <w:widowControl/>
                    <w:ind w:firstLine="420" w:firstLineChars="200"/>
                    <w:rPr>
                      <w:rFonts w:hint="default" w:ascii="Times New Roman" w:hAnsi="Times New Roman" w:cs="Times New Roman"/>
                      <w:color w:val="auto"/>
                      <w:kern w:val="0"/>
                      <w:szCs w:val="21"/>
                    </w:rPr>
                  </w:pPr>
                  <w:r>
                    <w:rPr>
                      <w:rFonts w:hint="default" w:ascii="Times New Roman" w:hAnsi="Times New Roman" w:cs="Times New Roman"/>
                      <w:color w:val="auto"/>
                      <w:kern w:val="0"/>
                    </w:rPr>
                    <w:t>控制台</w:t>
                  </w:r>
                  <w:r>
                    <w:rPr>
                      <w:rFonts w:hint="default" w:ascii="Times New Roman" w:hAnsi="Times New Roman" w:cs="Times New Roman"/>
                      <w:color w:val="auto"/>
                      <w:kern w:val="0"/>
                      <w:szCs w:val="21"/>
                    </w:rPr>
                    <w:t>拟设置</w:t>
                  </w:r>
                  <w:r>
                    <w:rPr>
                      <w:rFonts w:hint="default" w:ascii="Times New Roman" w:hAnsi="Times New Roman" w:cs="Times New Roman"/>
                      <w:color w:val="auto"/>
                      <w:kern w:val="0"/>
                    </w:rPr>
                    <w:t xml:space="preserve"> X射线管电压及高压接通或断开状态的显示以及管电压、管电流和照射时间选取及设定值显示装置</w:t>
                  </w:r>
                </w:p>
              </w:tc>
              <w:tc>
                <w:tcPr>
                  <w:tcW w:w="5306" w:type="dxa"/>
                  <w:noWrap w:val="0"/>
                  <w:vAlign w:val="center"/>
                </w:tcPr>
                <w:p>
                  <w:pPr>
                    <w:widowControl/>
                    <w:ind w:firstLine="420" w:firstLineChars="200"/>
                    <w:rPr>
                      <w:rFonts w:hint="default" w:ascii="Times New Roman" w:hAnsi="Times New Roman" w:cs="Times New Roman"/>
                      <w:color w:val="auto"/>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vMerge w:val="continue"/>
                  <w:noWrap w:val="0"/>
                  <w:vAlign w:val="center"/>
                </w:tcPr>
                <w:p>
                  <w:pPr>
                    <w:pStyle w:val="53"/>
                    <w:rPr>
                      <w:rFonts w:hint="default" w:ascii="Times New Roman" w:hAnsi="Times New Roman" w:cs="Times New Roman"/>
                      <w:color w:val="auto"/>
                      <w:kern w:val="0"/>
                    </w:rPr>
                  </w:pPr>
                </w:p>
              </w:tc>
              <w:tc>
                <w:tcPr>
                  <w:tcW w:w="1276" w:type="dxa"/>
                  <w:vMerge w:val="continue"/>
                  <w:noWrap w:val="0"/>
                  <w:vAlign w:val="center"/>
                </w:tcPr>
                <w:p>
                  <w:pPr>
                    <w:pStyle w:val="53"/>
                    <w:jc w:val="both"/>
                    <w:rPr>
                      <w:rFonts w:hint="default" w:ascii="Times New Roman" w:hAnsi="Times New Roman" w:cs="Times New Roman"/>
                      <w:color w:val="auto"/>
                      <w:kern w:val="0"/>
                    </w:rPr>
                  </w:pPr>
                </w:p>
              </w:tc>
              <w:tc>
                <w:tcPr>
                  <w:tcW w:w="5670" w:type="dxa"/>
                  <w:noWrap w:val="0"/>
                  <w:vAlign w:val="center"/>
                </w:tcPr>
                <w:p>
                  <w:pPr>
                    <w:pStyle w:val="53"/>
                    <w:ind w:firstLine="420" w:firstLineChars="200"/>
                    <w:jc w:val="both"/>
                    <w:rPr>
                      <w:rFonts w:hint="default" w:ascii="Times New Roman" w:hAnsi="Times New Roman" w:cs="Times New Roman"/>
                      <w:color w:val="auto"/>
                      <w:kern w:val="0"/>
                    </w:rPr>
                  </w:pPr>
                  <w:r>
                    <w:rPr>
                      <w:rFonts w:hint="default" w:ascii="Times New Roman" w:hAnsi="Times New Roman" w:cs="Times New Roman"/>
                      <w:color w:val="auto"/>
                      <w:kern w:val="0"/>
                    </w:rPr>
                    <w:t>3.1.2.2应设置有高压接通时的外部报警或指示装置</w:t>
                  </w:r>
                </w:p>
              </w:tc>
              <w:tc>
                <w:tcPr>
                  <w:tcW w:w="5306" w:type="dxa"/>
                  <w:noWrap w:val="0"/>
                  <w:vAlign w:val="center"/>
                </w:tcPr>
                <w:p>
                  <w:pPr>
                    <w:widowControl/>
                    <w:ind w:firstLine="420" w:firstLineChars="200"/>
                    <w:rPr>
                      <w:rFonts w:hint="default" w:ascii="Times New Roman" w:hAnsi="Times New Roman" w:cs="Times New Roman"/>
                      <w:color w:val="auto"/>
                      <w:kern w:val="0"/>
                      <w:szCs w:val="21"/>
                    </w:rPr>
                  </w:pPr>
                  <w:r>
                    <w:rPr>
                      <w:rFonts w:hint="default" w:ascii="Times New Roman" w:hAnsi="Times New Roman" w:cs="Times New Roman"/>
                      <w:color w:val="auto"/>
                      <w:kern w:val="0"/>
                    </w:rPr>
                    <w:t>控制台设有高压接通时的外部报警或指示装置</w:t>
                  </w:r>
                </w:p>
              </w:tc>
              <w:tc>
                <w:tcPr>
                  <w:tcW w:w="5306" w:type="dxa"/>
                  <w:noWrap w:val="0"/>
                  <w:vAlign w:val="center"/>
                </w:tcPr>
                <w:p>
                  <w:pPr>
                    <w:widowControl/>
                    <w:ind w:firstLine="420" w:firstLineChars="200"/>
                    <w:rPr>
                      <w:rFonts w:hint="default" w:ascii="Times New Roman" w:hAnsi="Times New Roman" w:cs="Times New Roman"/>
                      <w:color w:val="auto"/>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vMerge w:val="continue"/>
                  <w:noWrap w:val="0"/>
                  <w:vAlign w:val="center"/>
                </w:tcPr>
                <w:p>
                  <w:pPr>
                    <w:pStyle w:val="53"/>
                    <w:rPr>
                      <w:rFonts w:hint="default" w:ascii="Times New Roman" w:hAnsi="Times New Roman" w:cs="Times New Roman"/>
                      <w:color w:val="auto"/>
                      <w:kern w:val="0"/>
                    </w:rPr>
                  </w:pPr>
                </w:p>
              </w:tc>
              <w:tc>
                <w:tcPr>
                  <w:tcW w:w="1276" w:type="dxa"/>
                  <w:vMerge w:val="continue"/>
                  <w:noWrap w:val="0"/>
                  <w:vAlign w:val="center"/>
                </w:tcPr>
                <w:p>
                  <w:pPr>
                    <w:pStyle w:val="53"/>
                    <w:jc w:val="both"/>
                    <w:rPr>
                      <w:rFonts w:hint="default" w:ascii="Times New Roman" w:hAnsi="Times New Roman" w:cs="Times New Roman"/>
                      <w:color w:val="auto"/>
                      <w:kern w:val="0"/>
                    </w:rPr>
                  </w:pPr>
                </w:p>
              </w:tc>
              <w:tc>
                <w:tcPr>
                  <w:tcW w:w="5670" w:type="dxa"/>
                  <w:noWrap w:val="0"/>
                  <w:vAlign w:val="center"/>
                </w:tcPr>
                <w:p>
                  <w:pPr>
                    <w:pStyle w:val="53"/>
                    <w:ind w:firstLine="420" w:firstLineChars="200"/>
                    <w:jc w:val="both"/>
                    <w:rPr>
                      <w:rFonts w:hint="default" w:ascii="Times New Roman" w:hAnsi="Times New Roman" w:cs="Times New Roman"/>
                      <w:color w:val="auto"/>
                      <w:kern w:val="0"/>
                    </w:rPr>
                  </w:pPr>
                  <w:r>
                    <w:rPr>
                      <w:rFonts w:hint="default" w:ascii="Times New Roman" w:hAnsi="Times New Roman" w:cs="Times New Roman"/>
                      <w:color w:val="auto"/>
                      <w:kern w:val="0"/>
                    </w:rPr>
                    <w:t>控制台或 X射线管头组装体上应设置与探伤室防护门联锁的接口</w:t>
                  </w:r>
                  <w:r>
                    <w:rPr>
                      <w:rFonts w:hint="eastAsia" w:cs="Times New Roman"/>
                      <w:color w:val="auto"/>
                      <w:kern w:val="0"/>
                      <w:lang w:eastAsia="zh-CN"/>
                    </w:rPr>
                    <w:t>，</w:t>
                  </w:r>
                  <w:r>
                    <w:rPr>
                      <w:rFonts w:hint="default" w:ascii="Times New Roman" w:hAnsi="Times New Roman" w:cs="Times New Roman"/>
                      <w:color w:val="auto"/>
                      <w:kern w:val="0"/>
                    </w:rPr>
                    <w:t>当所有能进入探伤室的门未全部关闭时不能接通 X射线管管电压</w:t>
                  </w:r>
                  <w:r>
                    <w:rPr>
                      <w:rFonts w:hint="eastAsia" w:cs="Times New Roman"/>
                      <w:color w:val="auto"/>
                      <w:kern w:val="0"/>
                      <w:lang w:eastAsia="zh-CN"/>
                    </w:rPr>
                    <w:t>；</w:t>
                  </w:r>
                  <w:r>
                    <w:rPr>
                      <w:rFonts w:hint="default" w:ascii="Times New Roman" w:hAnsi="Times New Roman" w:cs="Times New Roman"/>
                      <w:color w:val="auto"/>
                      <w:kern w:val="0"/>
                    </w:rPr>
                    <w:t>已接通的 X射线管管电压在任何一个探伤室门开启时能立即切断</w:t>
                  </w:r>
                </w:p>
              </w:tc>
              <w:tc>
                <w:tcPr>
                  <w:tcW w:w="5306" w:type="dxa"/>
                  <w:noWrap w:val="0"/>
                  <w:vAlign w:val="center"/>
                </w:tcPr>
                <w:p>
                  <w:pPr>
                    <w:widowControl/>
                    <w:ind w:firstLine="420" w:firstLineChars="200"/>
                    <w:rPr>
                      <w:rFonts w:hint="default" w:ascii="Times New Roman" w:hAnsi="Times New Roman" w:cs="Times New Roman"/>
                      <w:color w:val="auto"/>
                      <w:kern w:val="0"/>
                      <w:szCs w:val="21"/>
                    </w:rPr>
                  </w:pPr>
                  <w:r>
                    <w:rPr>
                      <w:rFonts w:hint="default" w:ascii="Times New Roman" w:hAnsi="Times New Roman" w:cs="Times New Roman"/>
                      <w:color w:val="auto"/>
                      <w:kern w:val="0"/>
                    </w:rPr>
                    <w:t>控制台</w:t>
                  </w:r>
                  <w:r>
                    <w:rPr>
                      <w:rFonts w:hint="default" w:ascii="Times New Roman" w:hAnsi="Times New Roman" w:cs="Times New Roman"/>
                      <w:color w:val="auto"/>
                      <w:kern w:val="0"/>
                      <w:szCs w:val="21"/>
                    </w:rPr>
                    <w:t>设计有</w:t>
                  </w:r>
                  <w:r>
                    <w:rPr>
                      <w:rFonts w:hint="default" w:ascii="Times New Roman" w:hAnsi="Times New Roman" w:cs="Times New Roman"/>
                      <w:color w:val="auto"/>
                      <w:kern w:val="0"/>
                    </w:rPr>
                    <w:t>与探伤室防护门联锁的接口</w:t>
                  </w:r>
                </w:p>
              </w:tc>
              <w:tc>
                <w:tcPr>
                  <w:tcW w:w="5306" w:type="dxa"/>
                  <w:noWrap w:val="0"/>
                  <w:vAlign w:val="center"/>
                </w:tcPr>
                <w:p>
                  <w:pPr>
                    <w:widowControl/>
                    <w:ind w:firstLine="420" w:firstLineChars="200"/>
                    <w:rPr>
                      <w:rFonts w:hint="default" w:ascii="Times New Roman" w:hAnsi="Times New Roman" w:cs="Times New Roman"/>
                      <w:color w:val="auto"/>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vMerge w:val="continue"/>
                  <w:noWrap w:val="0"/>
                  <w:vAlign w:val="center"/>
                </w:tcPr>
                <w:p>
                  <w:pPr>
                    <w:pStyle w:val="53"/>
                    <w:rPr>
                      <w:rFonts w:hint="default" w:ascii="Times New Roman" w:hAnsi="Times New Roman" w:cs="Times New Roman"/>
                      <w:color w:val="auto"/>
                      <w:kern w:val="0"/>
                    </w:rPr>
                  </w:pPr>
                </w:p>
              </w:tc>
              <w:tc>
                <w:tcPr>
                  <w:tcW w:w="1276" w:type="dxa"/>
                  <w:vMerge w:val="continue"/>
                  <w:noWrap w:val="0"/>
                  <w:vAlign w:val="center"/>
                </w:tcPr>
                <w:p>
                  <w:pPr>
                    <w:pStyle w:val="53"/>
                    <w:jc w:val="both"/>
                    <w:rPr>
                      <w:rFonts w:hint="default" w:ascii="Times New Roman" w:hAnsi="Times New Roman" w:cs="Times New Roman"/>
                      <w:color w:val="auto"/>
                      <w:kern w:val="0"/>
                    </w:rPr>
                  </w:pPr>
                </w:p>
              </w:tc>
              <w:tc>
                <w:tcPr>
                  <w:tcW w:w="5670" w:type="dxa"/>
                  <w:noWrap w:val="0"/>
                  <w:vAlign w:val="center"/>
                </w:tcPr>
                <w:p>
                  <w:pPr>
                    <w:pStyle w:val="53"/>
                    <w:ind w:firstLine="420" w:firstLineChars="200"/>
                    <w:jc w:val="both"/>
                    <w:rPr>
                      <w:rFonts w:hint="default" w:ascii="Times New Roman" w:hAnsi="Times New Roman" w:cs="Times New Roman"/>
                      <w:color w:val="auto"/>
                      <w:kern w:val="0"/>
                    </w:rPr>
                  </w:pPr>
                  <w:r>
                    <w:rPr>
                      <w:rFonts w:hint="default" w:ascii="Times New Roman" w:hAnsi="Times New Roman" w:cs="Times New Roman"/>
                      <w:color w:val="auto"/>
                      <w:kern w:val="0"/>
                    </w:rPr>
                    <w:t>3.1.2.3应设有钥匙开关,只有在打开控制台钥匙开关后,X 射线管才能出束</w:t>
                  </w:r>
                  <w:r>
                    <w:rPr>
                      <w:rFonts w:hint="eastAsia" w:cs="Times New Roman"/>
                      <w:color w:val="auto"/>
                      <w:kern w:val="0"/>
                      <w:lang w:eastAsia="zh-CN"/>
                    </w:rPr>
                    <w:t>；</w:t>
                  </w:r>
                  <w:r>
                    <w:rPr>
                      <w:rFonts w:hint="default" w:ascii="Times New Roman" w:hAnsi="Times New Roman" w:cs="Times New Roman"/>
                      <w:color w:val="auto"/>
                      <w:kern w:val="0"/>
                    </w:rPr>
                    <w:t>钥匙只有在停机或待机状态时才能拔出</w:t>
                  </w:r>
                </w:p>
              </w:tc>
              <w:tc>
                <w:tcPr>
                  <w:tcW w:w="5306" w:type="dxa"/>
                  <w:noWrap w:val="0"/>
                  <w:vAlign w:val="center"/>
                </w:tcPr>
                <w:p>
                  <w:pPr>
                    <w:widowControl/>
                    <w:ind w:firstLine="420" w:firstLineChars="200"/>
                    <w:rPr>
                      <w:rFonts w:hint="default" w:ascii="Times New Roman" w:hAnsi="Times New Roman" w:cs="Times New Roman"/>
                      <w:color w:val="auto"/>
                      <w:kern w:val="0"/>
                      <w:szCs w:val="21"/>
                    </w:rPr>
                  </w:pPr>
                  <w:r>
                    <w:rPr>
                      <w:rFonts w:hint="default" w:ascii="Times New Roman" w:hAnsi="Times New Roman" w:cs="Times New Roman"/>
                      <w:color w:val="auto"/>
                      <w:kern w:val="0"/>
                    </w:rPr>
                    <w:t>控制台</w:t>
                  </w:r>
                  <w:r>
                    <w:rPr>
                      <w:rFonts w:hint="default" w:ascii="Times New Roman" w:hAnsi="Times New Roman" w:cs="Times New Roman"/>
                      <w:color w:val="auto"/>
                      <w:kern w:val="0"/>
                      <w:szCs w:val="21"/>
                    </w:rPr>
                    <w:t>设置有</w:t>
                  </w:r>
                  <w:r>
                    <w:rPr>
                      <w:rFonts w:hint="default" w:ascii="Times New Roman" w:hAnsi="Times New Roman" w:cs="Times New Roman"/>
                      <w:color w:val="auto"/>
                      <w:kern w:val="0"/>
                    </w:rPr>
                    <w:t>钥匙开关；钥匙只有在停机或待机状态时才能拔出</w:t>
                  </w:r>
                </w:p>
              </w:tc>
              <w:tc>
                <w:tcPr>
                  <w:tcW w:w="5306" w:type="dxa"/>
                  <w:noWrap w:val="0"/>
                  <w:vAlign w:val="center"/>
                </w:tcPr>
                <w:p>
                  <w:pPr>
                    <w:widowControl/>
                    <w:ind w:firstLine="420" w:firstLineChars="200"/>
                    <w:rPr>
                      <w:rFonts w:hint="default" w:ascii="Times New Roman" w:hAnsi="Times New Roman" w:cs="Times New Roman"/>
                      <w:color w:val="auto"/>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vMerge w:val="continue"/>
                  <w:noWrap w:val="0"/>
                  <w:vAlign w:val="center"/>
                </w:tcPr>
                <w:p>
                  <w:pPr>
                    <w:pStyle w:val="53"/>
                    <w:rPr>
                      <w:rFonts w:hint="default" w:ascii="Times New Roman" w:hAnsi="Times New Roman" w:cs="Times New Roman"/>
                      <w:color w:val="auto"/>
                      <w:kern w:val="0"/>
                    </w:rPr>
                  </w:pPr>
                </w:p>
              </w:tc>
              <w:tc>
                <w:tcPr>
                  <w:tcW w:w="1276" w:type="dxa"/>
                  <w:vMerge w:val="continue"/>
                  <w:noWrap w:val="0"/>
                  <w:vAlign w:val="center"/>
                </w:tcPr>
                <w:p>
                  <w:pPr>
                    <w:pStyle w:val="53"/>
                    <w:jc w:val="both"/>
                    <w:rPr>
                      <w:rFonts w:hint="default" w:ascii="Times New Roman" w:hAnsi="Times New Roman" w:cs="Times New Roman"/>
                      <w:color w:val="auto"/>
                      <w:kern w:val="0"/>
                    </w:rPr>
                  </w:pPr>
                </w:p>
              </w:tc>
              <w:tc>
                <w:tcPr>
                  <w:tcW w:w="5670" w:type="dxa"/>
                  <w:noWrap w:val="0"/>
                  <w:vAlign w:val="center"/>
                </w:tcPr>
                <w:p>
                  <w:pPr>
                    <w:pStyle w:val="53"/>
                    <w:ind w:firstLine="420" w:firstLineChars="200"/>
                    <w:jc w:val="both"/>
                    <w:rPr>
                      <w:rFonts w:hint="default" w:ascii="Times New Roman" w:hAnsi="Times New Roman" w:cs="Times New Roman"/>
                      <w:color w:val="auto"/>
                      <w:kern w:val="0"/>
                    </w:rPr>
                  </w:pPr>
                  <w:r>
                    <w:rPr>
                      <w:rFonts w:hint="default" w:ascii="Times New Roman" w:hAnsi="Times New Roman" w:cs="Times New Roman"/>
                      <w:color w:val="auto"/>
                      <w:kern w:val="0"/>
                    </w:rPr>
                    <w:t>3.1.2.4应设置紧急停机开关</w:t>
                  </w:r>
                </w:p>
              </w:tc>
              <w:tc>
                <w:tcPr>
                  <w:tcW w:w="5306" w:type="dxa"/>
                  <w:noWrap w:val="0"/>
                  <w:vAlign w:val="center"/>
                </w:tcPr>
                <w:p>
                  <w:pPr>
                    <w:widowControl/>
                    <w:ind w:firstLine="420" w:firstLineChars="200"/>
                    <w:rPr>
                      <w:rFonts w:hint="default" w:ascii="Times New Roman" w:hAnsi="Times New Roman" w:cs="Times New Roman"/>
                      <w:color w:val="auto"/>
                      <w:kern w:val="0"/>
                      <w:szCs w:val="21"/>
                    </w:rPr>
                  </w:pPr>
                  <w:r>
                    <w:rPr>
                      <w:rFonts w:hint="default" w:ascii="Times New Roman" w:hAnsi="Times New Roman" w:cs="Times New Roman"/>
                      <w:color w:val="auto"/>
                      <w:kern w:val="0"/>
                    </w:rPr>
                    <w:t>控制台设置紧急停机开关</w:t>
                  </w:r>
                </w:p>
              </w:tc>
              <w:tc>
                <w:tcPr>
                  <w:tcW w:w="5306" w:type="dxa"/>
                  <w:noWrap w:val="0"/>
                  <w:vAlign w:val="center"/>
                </w:tcPr>
                <w:p>
                  <w:pPr>
                    <w:widowControl/>
                    <w:ind w:firstLine="420" w:firstLineChars="200"/>
                    <w:rPr>
                      <w:rFonts w:hint="default" w:ascii="Times New Roman" w:hAnsi="Times New Roman" w:cs="Times New Roman"/>
                      <w:color w:val="auto"/>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vMerge w:val="continue"/>
                  <w:noWrap w:val="0"/>
                  <w:vAlign w:val="center"/>
                </w:tcPr>
                <w:p>
                  <w:pPr>
                    <w:pStyle w:val="53"/>
                    <w:rPr>
                      <w:rFonts w:hint="default" w:ascii="Times New Roman" w:hAnsi="Times New Roman" w:cs="Times New Roman"/>
                      <w:color w:val="auto"/>
                      <w:kern w:val="0"/>
                    </w:rPr>
                  </w:pPr>
                </w:p>
              </w:tc>
              <w:tc>
                <w:tcPr>
                  <w:tcW w:w="1276" w:type="dxa"/>
                  <w:vMerge w:val="continue"/>
                  <w:noWrap w:val="0"/>
                  <w:vAlign w:val="center"/>
                </w:tcPr>
                <w:p>
                  <w:pPr>
                    <w:pStyle w:val="53"/>
                    <w:jc w:val="both"/>
                    <w:rPr>
                      <w:rFonts w:hint="default" w:ascii="Times New Roman" w:hAnsi="Times New Roman" w:cs="Times New Roman"/>
                      <w:color w:val="auto"/>
                      <w:kern w:val="0"/>
                    </w:rPr>
                  </w:pPr>
                </w:p>
              </w:tc>
              <w:tc>
                <w:tcPr>
                  <w:tcW w:w="5670" w:type="dxa"/>
                  <w:noWrap w:val="0"/>
                  <w:vAlign w:val="center"/>
                </w:tcPr>
                <w:p>
                  <w:pPr>
                    <w:pStyle w:val="53"/>
                    <w:ind w:firstLine="420" w:firstLineChars="200"/>
                    <w:jc w:val="both"/>
                    <w:rPr>
                      <w:rFonts w:hint="default" w:ascii="Times New Roman" w:hAnsi="Times New Roman" w:cs="Times New Roman"/>
                      <w:color w:val="auto"/>
                      <w:kern w:val="0"/>
                    </w:rPr>
                  </w:pPr>
                  <w:r>
                    <w:rPr>
                      <w:rFonts w:hint="default" w:ascii="Times New Roman" w:hAnsi="Times New Roman" w:cs="Times New Roman"/>
                      <w:color w:val="auto"/>
                      <w:kern w:val="0"/>
                    </w:rPr>
                    <w:t>3.1.2.5应设置辐射警告、出束指示和禁止非授权使用的警告等标识</w:t>
                  </w:r>
                </w:p>
              </w:tc>
              <w:tc>
                <w:tcPr>
                  <w:tcW w:w="5306" w:type="dxa"/>
                  <w:noWrap w:val="0"/>
                  <w:vAlign w:val="center"/>
                </w:tcPr>
                <w:p>
                  <w:pPr>
                    <w:widowControl/>
                    <w:ind w:firstLine="420" w:firstLineChars="200"/>
                    <w:rPr>
                      <w:rFonts w:hint="default" w:ascii="Times New Roman" w:hAnsi="Times New Roman" w:cs="Times New Roman"/>
                      <w:color w:val="auto"/>
                      <w:kern w:val="0"/>
                      <w:szCs w:val="21"/>
                    </w:rPr>
                  </w:pPr>
                  <w:r>
                    <w:rPr>
                      <w:rFonts w:hint="default" w:ascii="Times New Roman" w:hAnsi="Times New Roman" w:cs="Times New Roman"/>
                      <w:color w:val="auto"/>
                      <w:kern w:val="0"/>
                    </w:rPr>
                    <w:t>控制台设置辐射警告、出束指示和禁止非授权使用的警告等标识</w:t>
                  </w:r>
                </w:p>
              </w:tc>
              <w:tc>
                <w:tcPr>
                  <w:tcW w:w="5306" w:type="dxa"/>
                  <w:noWrap w:val="0"/>
                  <w:vAlign w:val="center"/>
                </w:tcPr>
                <w:p>
                  <w:pPr>
                    <w:widowControl/>
                    <w:ind w:firstLine="420" w:firstLineChars="200"/>
                    <w:rPr>
                      <w:rFonts w:hint="default" w:ascii="Times New Roman" w:hAnsi="Times New Roman" w:cs="Times New Roman"/>
                      <w:color w:val="auto"/>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vMerge w:val="continue"/>
                  <w:noWrap w:val="0"/>
                  <w:vAlign w:val="center"/>
                </w:tcPr>
                <w:p>
                  <w:pPr>
                    <w:pStyle w:val="53"/>
                    <w:rPr>
                      <w:rFonts w:hint="default" w:ascii="Times New Roman" w:hAnsi="Times New Roman" w:cs="Times New Roman"/>
                      <w:color w:val="auto"/>
                    </w:rPr>
                  </w:pPr>
                </w:p>
              </w:tc>
              <w:tc>
                <w:tcPr>
                  <w:tcW w:w="1276" w:type="dxa"/>
                  <w:vMerge w:val="restart"/>
                  <w:noWrap w:val="0"/>
                  <w:vAlign w:val="center"/>
                </w:tcPr>
                <w:p>
                  <w:pPr>
                    <w:pStyle w:val="53"/>
                    <w:jc w:val="both"/>
                    <w:rPr>
                      <w:rFonts w:hint="default" w:ascii="Times New Roman" w:hAnsi="Times New Roman" w:cs="Times New Roman"/>
                      <w:color w:val="auto"/>
                    </w:rPr>
                  </w:pPr>
                  <w:r>
                    <w:rPr>
                      <w:rFonts w:hint="default" w:ascii="Times New Roman" w:hAnsi="Times New Roman" w:cs="Times New Roman"/>
                      <w:color w:val="auto"/>
                      <w:kern w:val="0"/>
                    </w:rPr>
                    <w:t>4.1防护安全要求</w:t>
                  </w:r>
                </w:p>
              </w:tc>
              <w:tc>
                <w:tcPr>
                  <w:tcW w:w="5670" w:type="dxa"/>
                  <w:noWrap w:val="0"/>
                  <w:vAlign w:val="center"/>
                </w:tcPr>
                <w:p>
                  <w:pPr>
                    <w:pStyle w:val="53"/>
                    <w:ind w:firstLine="420" w:firstLineChars="200"/>
                    <w:jc w:val="both"/>
                    <w:rPr>
                      <w:rFonts w:hint="default" w:ascii="Times New Roman" w:hAnsi="Times New Roman" w:cs="Times New Roman"/>
                      <w:color w:val="auto"/>
                    </w:rPr>
                  </w:pPr>
                  <w:r>
                    <w:rPr>
                      <w:rFonts w:hint="default" w:ascii="Times New Roman" w:hAnsi="Times New Roman" w:cs="Times New Roman"/>
                      <w:color w:val="auto"/>
                      <w:kern w:val="0"/>
                    </w:rPr>
                    <w:t>4.1.1探伤室的设置应充分考虑周围的辐射安全，操作室应与探伤室分开并尽量避开有用线束照射的方向</w:t>
                  </w:r>
                </w:p>
              </w:tc>
              <w:tc>
                <w:tcPr>
                  <w:tcW w:w="5306" w:type="dxa"/>
                  <w:noWrap w:val="0"/>
                  <w:vAlign w:val="center"/>
                </w:tcPr>
                <w:p>
                  <w:pPr>
                    <w:widowControl/>
                    <w:ind w:firstLine="420" w:firstLineChars="200"/>
                    <w:rPr>
                      <w:rFonts w:hint="default" w:ascii="Times New Roman" w:hAnsi="Times New Roman" w:cs="Times New Roman"/>
                      <w:color w:val="auto"/>
                    </w:rPr>
                  </w:pPr>
                  <w:r>
                    <w:rPr>
                      <w:rFonts w:hint="default" w:ascii="Times New Roman" w:hAnsi="Times New Roman" w:cs="Times New Roman"/>
                      <w:color w:val="auto"/>
                      <w:kern w:val="0"/>
                      <w:szCs w:val="21"/>
                    </w:rPr>
                    <w:t>项目控制台与探伤室分开布置，X射线探伤机的有用射线束照射方向向</w:t>
                  </w:r>
                  <w:r>
                    <w:rPr>
                      <w:rFonts w:hint="eastAsia" w:ascii="Times New Roman" w:hAnsi="Times New Roman" w:cs="Times New Roman"/>
                      <w:color w:val="auto"/>
                      <w:kern w:val="0"/>
                      <w:szCs w:val="21"/>
                      <w:lang w:val="en-US" w:eastAsia="zh-CN"/>
                    </w:rPr>
                    <w:t>北</w:t>
                  </w:r>
                  <w:r>
                    <w:rPr>
                      <w:rFonts w:hint="default" w:ascii="Times New Roman" w:hAnsi="Times New Roman" w:cs="Times New Roman"/>
                      <w:color w:val="auto"/>
                      <w:kern w:val="0"/>
                      <w:szCs w:val="21"/>
                    </w:rPr>
                    <w:t>，避开了控制室及其他保护目标</w:t>
                  </w:r>
                </w:p>
              </w:tc>
              <w:tc>
                <w:tcPr>
                  <w:tcW w:w="5306" w:type="dxa"/>
                  <w:noWrap w:val="0"/>
                  <w:vAlign w:val="center"/>
                </w:tcPr>
                <w:p>
                  <w:pPr>
                    <w:widowControl/>
                    <w:ind w:firstLine="420" w:firstLineChars="200"/>
                    <w:rPr>
                      <w:rFonts w:hint="default" w:ascii="Times New Roman" w:hAnsi="Times New Roman" w:cs="Times New Roman"/>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vMerge w:val="continue"/>
                  <w:noWrap w:val="0"/>
                  <w:vAlign w:val="center"/>
                </w:tcPr>
                <w:p>
                  <w:pPr>
                    <w:pStyle w:val="53"/>
                    <w:ind w:firstLine="420" w:firstLineChars="200"/>
                    <w:jc w:val="both"/>
                    <w:rPr>
                      <w:rFonts w:hint="default" w:ascii="Times New Roman" w:hAnsi="Times New Roman" w:cs="Times New Roman"/>
                      <w:color w:val="auto"/>
                    </w:rPr>
                  </w:pPr>
                </w:p>
              </w:tc>
              <w:tc>
                <w:tcPr>
                  <w:tcW w:w="1276" w:type="dxa"/>
                  <w:vMerge w:val="continue"/>
                  <w:noWrap w:val="0"/>
                  <w:vAlign w:val="center"/>
                </w:tcPr>
                <w:p>
                  <w:pPr>
                    <w:pStyle w:val="53"/>
                    <w:jc w:val="both"/>
                    <w:rPr>
                      <w:rFonts w:hint="default" w:ascii="Times New Roman" w:hAnsi="Times New Roman" w:cs="Times New Roman"/>
                      <w:color w:val="auto"/>
                    </w:rPr>
                  </w:pPr>
                </w:p>
              </w:tc>
              <w:tc>
                <w:tcPr>
                  <w:tcW w:w="5670" w:type="dxa"/>
                  <w:noWrap w:val="0"/>
                  <w:vAlign w:val="center"/>
                </w:tcPr>
                <w:p>
                  <w:pPr>
                    <w:widowControl/>
                    <w:ind w:firstLine="420" w:firstLineChars="200"/>
                    <w:rPr>
                      <w:rFonts w:hint="default" w:ascii="Times New Roman" w:hAnsi="Times New Roman" w:cs="Times New Roman"/>
                      <w:color w:val="auto"/>
                    </w:rPr>
                  </w:pPr>
                  <w:r>
                    <w:rPr>
                      <w:rFonts w:hint="default" w:ascii="Times New Roman" w:hAnsi="Times New Roman" w:cs="Times New Roman"/>
                      <w:color w:val="auto"/>
                      <w:kern w:val="0"/>
                      <w:szCs w:val="21"/>
                    </w:rPr>
                    <w:t>4.1.2应对探伤工作场所实行分区管理。一般将探伤室墙壁围成的内部区域划为控制区,与墙壁外部相邻区域划为监督区</w:t>
                  </w:r>
                </w:p>
              </w:tc>
              <w:tc>
                <w:tcPr>
                  <w:tcW w:w="5306" w:type="dxa"/>
                  <w:noWrap w:val="0"/>
                  <w:vAlign w:val="center"/>
                </w:tcPr>
                <w:p>
                  <w:pPr>
                    <w:widowControl/>
                    <w:ind w:firstLine="420" w:firstLineChars="200"/>
                    <w:rPr>
                      <w:rFonts w:hint="default" w:ascii="Times New Roman" w:hAnsi="Times New Roman" w:cs="Times New Roman"/>
                      <w:color w:val="auto"/>
                    </w:rPr>
                  </w:pPr>
                  <w:r>
                    <w:rPr>
                      <w:rFonts w:hint="default" w:ascii="Times New Roman" w:hAnsi="Times New Roman" w:cs="Times New Roman"/>
                      <w:color w:val="auto"/>
                      <w:kern w:val="0"/>
                      <w:szCs w:val="21"/>
                    </w:rPr>
                    <w:t>项目根据该要求，拟划定控制区和监督区，实行分区管理</w:t>
                  </w:r>
                </w:p>
              </w:tc>
              <w:tc>
                <w:tcPr>
                  <w:tcW w:w="5306" w:type="dxa"/>
                  <w:noWrap w:val="0"/>
                  <w:vAlign w:val="center"/>
                </w:tcPr>
                <w:p>
                  <w:pPr>
                    <w:widowControl/>
                    <w:ind w:firstLine="420" w:firstLineChars="200"/>
                    <w:rPr>
                      <w:rFonts w:hint="default" w:ascii="Times New Roman" w:hAnsi="Times New Roman" w:cs="Times New Roman"/>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vMerge w:val="continue"/>
                  <w:noWrap w:val="0"/>
                  <w:vAlign w:val="center"/>
                </w:tcPr>
                <w:p>
                  <w:pPr>
                    <w:pStyle w:val="53"/>
                    <w:ind w:firstLine="420" w:firstLineChars="200"/>
                    <w:jc w:val="both"/>
                    <w:rPr>
                      <w:rFonts w:hint="default" w:ascii="Times New Roman" w:hAnsi="Times New Roman" w:cs="Times New Roman"/>
                      <w:color w:val="auto"/>
                    </w:rPr>
                  </w:pPr>
                </w:p>
              </w:tc>
              <w:tc>
                <w:tcPr>
                  <w:tcW w:w="1276" w:type="dxa"/>
                  <w:vMerge w:val="continue"/>
                  <w:noWrap w:val="0"/>
                  <w:vAlign w:val="center"/>
                </w:tcPr>
                <w:p>
                  <w:pPr>
                    <w:pStyle w:val="53"/>
                    <w:jc w:val="both"/>
                    <w:rPr>
                      <w:rFonts w:hint="default" w:ascii="Times New Roman" w:hAnsi="Times New Roman" w:cs="Times New Roman"/>
                      <w:color w:val="auto"/>
                    </w:rPr>
                  </w:pPr>
                </w:p>
              </w:tc>
              <w:tc>
                <w:tcPr>
                  <w:tcW w:w="5670" w:type="dxa"/>
                  <w:noWrap w:val="0"/>
                  <w:vAlign w:val="center"/>
                </w:tcPr>
                <w:p>
                  <w:pPr>
                    <w:widowControl/>
                    <w:ind w:firstLine="420" w:firstLineChars="200"/>
                    <w:rPr>
                      <w:rFonts w:hint="default" w:ascii="Times New Roman" w:hAnsi="Times New Roman" w:cs="Times New Roman"/>
                      <w:color w:val="auto"/>
                    </w:rPr>
                  </w:pPr>
                  <w:r>
                    <w:rPr>
                      <w:rFonts w:hint="default" w:ascii="Times New Roman" w:hAnsi="Times New Roman" w:cs="Times New Roman"/>
                      <w:color w:val="auto"/>
                      <w:kern w:val="0"/>
                      <w:szCs w:val="21"/>
                    </w:rPr>
                    <w:t>4.1.5探伤室应设置门—机联锁装置，并保证在门(包括人员门和货物门)关闭后X射线装置才能进行探伤作业。门打开时应立即停止X射线照射，关上门不能自动开始X射线照射</w:t>
                  </w:r>
                </w:p>
              </w:tc>
              <w:tc>
                <w:tcPr>
                  <w:tcW w:w="5306" w:type="dxa"/>
                  <w:noWrap w:val="0"/>
                  <w:vAlign w:val="center"/>
                </w:tcPr>
                <w:p>
                  <w:pPr>
                    <w:widowControl/>
                    <w:ind w:firstLine="420" w:firstLineChars="200"/>
                    <w:rPr>
                      <w:rFonts w:hint="default" w:ascii="Times New Roman" w:hAnsi="Times New Roman" w:cs="Times New Roman"/>
                      <w:color w:val="auto"/>
                    </w:rPr>
                  </w:pPr>
                  <w:r>
                    <w:rPr>
                      <w:rFonts w:hint="default" w:ascii="Times New Roman" w:hAnsi="Times New Roman" w:cs="Times New Roman"/>
                      <w:color w:val="auto"/>
                      <w:kern w:val="0"/>
                      <w:szCs w:val="21"/>
                    </w:rPr>
                    <w:t>探伤室拟设置门机联锁装置，只有当防护门关闭后设备才能启动，开高压产生X射线。防护门关闭后，设备不能自动开启</w:t>
                  </w:r>
                </w:p>
              </w:tc>
              <w:tc>
                <w:tcPr>
                  <w:tcW w:w="5306" w:type="dxa"/>
                  <w:noWrap w:val="0"/>
                  <w:vAlign w:val="center"/>
                </w:tcPr>
                <w:p>
                  <w:pPr>
                    <w:widowControl/>
                    <w:ind w:firstLine="420" w:firstLineChars="200"/>
                    <w:rPr>
                      <w:rFonts w:hint="default" w:ascii="Times New Roman" w:hAnsi="Times New Roman" w:cs="Times New Roman"/>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vMerge w:val="continue"/>
                  <w:noWrap w:val="0"/>
                  <w:vAlign w:val="center"/>
                </w:tcPr>
                <w:p>
                  <w:pPr>
                    <w:pStyle w:val="53"/>
                    <w:ind w:firstLine="420" w:firstLineChars="200"/>
                    <w:jc w:val="both"/>
                    <w:rPr>
                      <w:rFonts w:hint="default" w:ascii="Times New Roman" w:hAnsi="Times New Roman" w:cs="Times New Roman"/>
                      <w:color w:val="auto"/>
                    </w:rPr>
                  </w:pPr>
                </w:p>
              </w:tc>
              <w:tc>
                <w:tcPr>
                  <w:tcW w:w="1276" w:type="dxa"/>
                  <w:vMerge w:val="continue"/>
                  <w:noWrap w:val="0"/>
                  <w:vAlign w:val="center"/>
                </w:tcPr>
                <w:p>
                  <w:pPr>
                    <w:pStyle w:val="53"/>
                    <w:jc w:val="both"/>
                    <w:rPr>
                      <w:rFonts w:hint="default" w:ascii="Times New Roman" w:hAnsi="Times New Roman" w:cs="Times New Roman"/>
                      <w:color w:val="auto"/>
                    </w:rPr>
                  </w:pPr>
                </w:p>
              </w:tc>
              <w:tc>
                <w:tcPr>
                  <w:tcW w:w="5670" w:type="dxa"/>
                  <w:noWrap w:val="0"/>
                  <w:vAlign w:val="center"/>
                </w:tcPr>
                <w:p>
                  <w:pPr>
                    <w:widowControl/>
                    <w:ind w:firstLine="420" w:firstLineChars="200"/>
                    <w:rPr>
                      <w:rFonts w:hint="default" w:ascii="Times New Roman" w:hAnsi="Times New Roman" w:cs="Times New Roman"/>
                      <w:color w:val="auto"/>
                    </w:rPr>
                  </w:pPr>
                  <w:r>
                    <w:rPr>
                      <w:rFonts w:hint="default" w:ascii="Times New Roman" w:hAnsi="Times New Roman" w:cs="Times New Roman"/>
                      <w:color w:val="auto"/>
                      <w:kern w:val="0"/>
                      <w:szCs w:val="21"/>
                    </w:rPr>
                    <w:t>4.1.6探伤室门口和内部应同时设有显示“预备”和“照射”状态的指示灯和声音提示装置。“预备”信号应持续足够长的时间,以确保探伤室内人员安全离开。“预备”信号和“照射”信号应有明显的区别，并且应与该工作场所内使用的其他报警信号有明显区别</w:t>
                  </w:r>
                </w:p>
              </w:tc>
              <w:tc>
                <w:tcPr>
                  <w:tcW w:w="5306" w:type="dxa"/>
                  <w:noWrap w:val="0"/>
                  <w:vAlign w:val="center"/>
                </w:tcPr>
                <w:p>
                  <w:pPr>
                    <w:widowControl/>
                    <w:ind w:firstLine="420" w:firstLineChars="200"/>
                    <w:rPr>
                      <w:rFonts w:hint="default" w:ascii="Times New Roman" w:hAnsi="Times New Roman" w:cs="Times New Roman"/>
                      <w:color w:val="auto"/>
                    </w:rPr>
                  </w:pPr>
                  <w:r>
                    <w:rPr>
                      <w:rFonts w:hint="default" w:ascii="Times New Roman" w:hAnsi="Times New Roman" w:cs="Times New Roman"/>
                      <w:color w:val="auto"/>
                      <w:kern w:val="0"/>
                      <w:szCs w:val="21"/>
                    </w:rPr>
                    <w:t>探伤室门口和内部拟设置显示“预备”和“照射”状态的指示灯和声音提示装置。“预备”信号和“照射”信号有明显的区别，与该工作场所内使用的其他报警信号有明显区别</w:t>
                  </w:r>
                </w:p>
              </w:tc>
              <w:tc>
                <w:tcPr>
                  <w:tcW w:w="5306" w:type="dxa"/>
                  <w:noWrap w:val="0"/>
                  <w:vAlign w:val="center"/>
                </w:tcPr>
                <w:p>
                  <w:pPr>
                    <w:widowControl/>
                    <w:ind w:firstLine="420" w:firstLineChars="200"/>
                    <w:rPr>
                      <w:rFonts w:hint="default" w:ascii="Times New Roman" w:hAnsi="Times New Roman" w:cs="Times New Roman"/>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vMerge w:val="continue"/>
                  <w:noWrap w:val="0"/>
                  <w:vAlign w:val="center"/>
                </w:tcPr>
                <w:p>
                  <w:pPr>
                    <w:pStyle w:val="53"/>
                    <w:ind w:firstLine="420" w:firstLineChars="200"/>
                    <w:jc w:val="both"/>
                    <w:rPr>
                      <w:rFonts w:hint="default" w:ascii="Times New Roman" w:hAnsi="Times New Roman" w:cs="Times New Roman"/>
                      <w:color w:val="auto"/>
                    </w:rPr>
                  </w:pPr>
                </w:p>
              </w:tc>
              <w:tc>
                <w:tcPr>
                  <w:tcW w:w="1276" w:type="dxa"/>
                  <w:vMerge w:val="continue"/>
                  <w:noWrap w:val="0"/>
                  <w:vAlign w:val="center"/>
                </w:tcPr>
                <w:p>
                  <w:pPr>
                    <w:pStyle w:val="53"/>
                    <w:jc w:val="both"/>
                    <w:rPr>
                      <w:rFonts w:hint="default" w:ascii="Times New Roman" w:hAnsi="Times New Roman" w:cs="Times New Roman"/>
                      <w:color w:val="auto"/>
                    </w:rPr>
                  </w:pPr>
                </w:p>
              </w:tc>
              <w:tc>
                <w:tcPr>
                  <w:tcW w:w="5670" w:type="dxa"/>
                  <w:noWrap w:val="0"/>
                  <w:vAlign w:val="center"/>
                </w:tcPr>
                <w:p>
                  <w:pPr>
                    <w:pStyle w:val="53"/>
                    <w:ind w:firstLine="420" w:firstLineChars="200"/>
                    <w:jc w:val="both"/>
                    <w:rPr>
                      <w:rFonts w:hint="default" w:ascii="Times New Roman" w:hAnsi="Times New Roman" w:cs="Times New Roman"/>
                      <w:color w:val="auto"/>
                    </w:rPr>
                  </w:pPr>
                  <w:r>
                    <w:rPr>
                      <w:rFonts w:hint="default" w:ascii="Times New Roman" w:hAnsi="Times New Roman" w:cs="Times New Roman"/>
                      <w:color w:val="auto"/>
                    </w:rPr>
                    <w:t>4.1.7照射状态指示装置应与X射线探伤装置联锁。</w:t>
                  </w:r>
                </w:p>
              </w:tc>
              <w:tc>
                <w:tcPr>
                  <w:tcW w:w="5306" w:type="dxa"/>
                  <w:noWrap w:val="0"/>
                  <w:vAlign w:val="center"/>
                </w:tcPr>
                <w:p>
                  <w:pPr>
                    <w:widowControl/>
                    <w:ind w:firstLine="420" w:firstLineChars="200"/>
                    <w:rPr>
                      <w:rFonts w:hint="default" w:ascii="Times New Roman" w:hAnsi="Times New Roman" w:cs="Times New Roman"/>
                      <w:color w:val="auto"/>
                    </w:rPr>
                  </w:pPr>
                  <w:r>
                    <w:rPr>
                      <w:rFonts w:hint="default" w:ascii="Times New Roman" w:hAnsi="Times New Roman" w:cs="Times New Roman"/>
                      <w:color w:val="auto"/>
                      <w:kern w:val="0"/>
                      <w:szCs w:val="21"/>
                    </w:rPr>
                    <w:t>探伤室防护门上方拟设置了照射状态指示灯，并与X射线探伤装置联锁</w:t>
                  </w:r>
                </w:p>
              </w:tc>
              <w:tc>
                <w:tcPr>
                  <w:tcW w:w="5306" w:type="dxa"/>
                  <w:noWrap w:val="0"/>
                  <w:vAlign w:val="center"/>
                </w:tcPr>
                <w:p>
                  <w:pPr>
                    <w:widowControl/>
                    <w:ind w:firstLine="420" w:firstLineChars="200"/>
                    <w:rPr>
                      <w:rFonts w:hint="default" w:ascii="Times New Roman" w:hAnsi="Times New Roman" w:cs="Times New Roman"/>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vMerge w:val="continue"/>
                  <w:noWrap w:val="0"/>
                  <w:vAlign w:val="center"/>
                </w:tcPr>
                <w:p>
                  <w:pPr>
                    <w:pStyle w:val="53"/>
                    <w:ind w:firstLine="420" w:firstLineChars="200"/>
                    <w:jc w:val="both"/>
                    <w:rPr>
                      <w:rFonts w:hint="default" w:ascii="Times New Roman" w:hAnsi="Times New Roman" w:cs="Times New Roman"/>
                      <w:color w:val="auto"/>
                    </w:rPr>
                  </w:pPr>
                </w:p>
              </w:tc>
              <w:tc>
                <w:tcPr>
                  <w:tcW w:w="1276" w:type="dxa"/>
                  <w:vMerge w:val="continue"/>
                  <w:noWrap w:val="0"/>
                  <w:vAlign w:val="center"/>
                </w:tcPr>
                <w:p>
                  <w:pPr>
                    <w:pStyle w:val="53"/>
                    <w:jc w:val="both"/>
                    <w:rPr>
                      <w:rFonts w:hint="default" w:ascii="Times New Roman" w:hAnsi="Times New Roman" w:cs="Times New Roman"/>
                      <w:color w:val="auto"/>
                    </w:rPr>
                  </w:pPr>
                </w:p>
              </w:tc>
              <w:tc>
                <w:tcPr>
                  <w:tcW w:w="5670" w:type="dxa"/>
                  <w:noWrap w:val="0"/>
                  <w:vAlign w:val="center"/>
                </w:tcPr>
                <w:p>
                  <w:pPr>
                    <w:widowControl/>
                    <w:ind w:firstLine="420" w:firstLineChars="200"/>
                    <w:rPr>
                      <w:rFonts w:hint="default" w:ascii="Times New Roman" w:hAnsi="Times New Roman" w:cs="Times New Roman"/>
                      <w:color w:val="auto"/>
                    </w:rPr>
                  </w:pPr>
                  <w:r>
                    <w:rPr>
                      <w:rFonts w:hint="default" w:ascii="Times New Roman" w:hAnsi="Times New Roman" w:cs="Times New Roman"/>
                      <w:color w:val="auto"/>
                      <w:kern w:val="0"/>
                      <w:szCs w:val="21"/>
                    </w:rPr>
                    <w:t>4.1.8探伤室内、外醒目位置处应有清晰的对“预备”和“照射”信号意义的说明</w:t>
                  </w:r>
                </w:p>
              </w:tc>
              <w:tc>
                <w:tcPr>
                  <w:tcW w:w="5306" w:type="dxa"/>
                  <w:noWrap w:val="0"/>
                  <w:vAlign w:val="center"/>
                </w:tcPr>
                <w:p>
                  <w:pPr>
                    <w:widowControl/>
                    <w:ind w:firstLine="420" w:firstLineChars="200"/>
                    <w:rPr>
                      <w:rFonts w:hint="default" w:ascii="Times New Roman" w:hAnsi="Times New Roman" w:cs="Times New Roman"/>
                      <w:color w:val="auto"/>
                    </w:rPr>
                  </w:pPr>
                  <w:r>
                    <w:rPr>
                      <w:rFonts w:hint="default" w:ascii="Times New Roman" w:hAnsi="Times New Roman" w:cs="Times New Roman"/>
                      <w:color w:val="auto"/>
                      <w:kern w:val="0"/>
                      <w:szCs w:val="21"/>
                    </w:rPr>
                    <w:t>探伤室内、外醒目位置拟设置清晰的对“预备”和“照射”信号意义的说明</w:t>
                  </w:r>
                </w:p>
              </w:tc>
              <w:tc>
                <w:tcPr>
                  <w:tcW w:w="5306" w:type="dxa"/>
                  <w:noWrap w:val="0"/>
                  <w:vAlign w:val="center"/>
                </w:tcPr>
                <w:p>
                  <w:pPr>
                    <w:widowControl/>
                    <w:ind w:firstLine="420" w:firstLineChars="200"/>
                    <w:rPr>
                      <w:rFonts w:hint="default" w:ascii="Times New Roman" w:hAnsi="Times New Roman" w:cs="Times New Roman"/>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vMerge w:val="continue"/>
                  <w:noWrap w:val="0"/>
                  <w:vAlign w:val="center"/>
                </w:tcPr>
                <w:p>
                  <w:pPr>
                    <w:pStyle w:val="53"/>
                    <w:ind w:firstLine="420" w:firstLineChars="200"/>
                    <w:jc w:val="both"/>
                    <w:rPr>
                      <w:rFonts w:hint="default" w:ascii="Times New Roman" w:hAnsi="Times New Roman" w:cs="Times New Roman"/>
                      <w:color w:val="auto"/>
                    </w:rPr>
                  </w:pPr>
                </w:p>
              </w:tc>
              <w:tc>
                <w:tcPr>
                  <w:tcW w:w="1276" w:type="dxa"/>
                  <w:vMerge w:val="continue"/>
                  <w:noWrap w:val="0"/>
                  <w:vAlign w:val="center"/>
                </w:tcPr>
                <w:p>
                  <w:pPr>
                    <w:pStyle w:val="53"/>
                    <w:jc w:val="both"/>
                    <w:rPr>
                      <w:rFonts w:hint="default" w:ascii="Times New Roman" w:hAnsi="Times New Roman" w:cs="Times New Roman"/>
                      <w:color w:val="auto"/>
                    </w:rPr>
                  </w:pPr>
                </w:p>
              </w:tc>
              <w:tc>
                <w:tcPr>
                  <w:tcW w:w="5670" w:type="dxa"/>
                  <w:noWrap w:val="0"/>
                  <w:vAlign w:val="center"/>
                </w:tcPr>
                <w:p>
                  <w:pPr>
                    <w:pStyle w:val="53"/>
                    <w:ind w:firstLine="420" w:firstLineChars="200"/>
                    <w:jc w:val="both"/>
                    <w:rPr>
                      <w:rFonts w:hint="default" w:ascii="Times New Roman" w:hAnsi="Times New Roman" w:cs="Times New Roman"/>
                      <w:color w:val="auto"/>
                    </w:rPr>
                  </w:pPr>
                  <w:r>
                    <w:rPr>
                      <w:rFonts w:hint="default" w:ascii="Times New Roman" w:hAnsi="Times New Roman" w:cs="Times New Roman"/>
                      <w:color w:val="auto"/>
                    </w:rPr>
                    <w:t>4.1.9探伤室防护门上应有电离辐射警告标识和中文警示说明</w:t>
                  </w:r>
                </w:p>
              </w:tc>
              <w:tc>
                <w:tcPr>
                  <w:tcW w:w="5306" w:type="dxa"/>
                  <w:noWrap w:val="0"/>
                  <w:vAlign w:val="center"/>
                </w:tcPr>
                <w:p>
                  <w:pPr>
                    <w:widowControl/>
                    <w:ind w:firstLine="420" w:firstLineChars="200"/>
                    <w:rPr>
                      <w:rFonts w:hint="default" w:ascii="Times New Roman" w:hAnsi="Times New Roman" w:cs="Times New Roman"/>
                      <w:color w:val="auto"/>
                    </w:rPr>
                  </w:pPr>
                  <w:r>
                    <w:rPr>
                      <w:rFonts w:hint="default" w:ascii="Times New Roman" w:hAnsi="Times New Roman" w:cs="Times New Roman"/>
                      <w:color w:val="auto"/>
                      <w:kern w:val="0"/>
                      <w:szCs w:val="21"/>
                    </w:rPr>
                    <w:t>项目探伤室防护门上拟设置电离辐射警告标识，拟设置中文警示说明</w:t>
                  </w:r>
                </w:p>
              </w:tc>
              <w:tc>
                <w:tcPr>
                  <w:tcW w:w="5306" w:type="dxa"/>
                  <w:noWrap w:val="0"/>
                  <w:vAlign w:val="center"/>
                </w:tcPr>
                <w:p>
                  <w:pPr>
                    <w:widowControl/>
                    <w:ind w:firstLine="420" w:firstLineChars="200"/>
                    <w:rPr>
                      <w:rFonts w:hint="default" w:ascii="Times New Roman" w:hAnsi="Times New Roman" w:cs="Times New Roman"/>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vMerge w:val="continue"/>
                  <w:noWrap w:val="0"/>
                  <w:vAlign w:val="center"/>
                </w:tcPr>
                <w:p>
                  <w:pPr>
                    <w:pStyle w:val="53"/>
                    <w:ind w:firstLine="420" w:firstLineChars="200"/>
                    <w:jc w:val="both"/>
                    <w:rPr>
                      <w:rFonts w:hint="default" w:ascii="Times New Roman" w:hAnsi="Times New Roman" w:cs="Times New Roman"/>
                      <w:color w:val="auto"/>
                    </w:rPr>
                  </w:pPr>
                </w:p>
              </w:tc>
              <w:tc>
                <w:tcPr>
                  <w:tcW w:w="1276" w:type="dxa"/>
                  <w:vMerge w:val="continue"/>
                  <w:noWrap w:val="0"/>
                  <w:vAlign w:val="center"/>
                </w:tcPr>
                <w:p>
                  <w:pPr>
                    <w:pStyle w:val="53"/>
                    <w:jc w:val="both"/>
                    <w:rPr>
                      <w:rFonts w:hint="default" w:ascii="Times New Roman" w:hAnsi="Times New Roman" w:cs="Times New Roman"/>
                      <w:color w:val="auto"/>
                    </w:rPr>
                  </w:pPr>
                </w:p>
              </w:tc>
              <w:tc>
                <w:tcPr>
                  <w:tcW w:w="5670" w:type="dxa"/>
                  <w:noWrap w:val="0"/>
                  <w:vAlign w:val="center"/>
                </w:tcPr>
                <w:p>
                  <w:pPr>
                    <w:widowControl/>
                    <w:ind w:firstLine="420" w:firstLineChars="200"/>
                    <w:rPr>
                      <w:rFonts w:hint="default" w:ascii="Times New Roman" w:hAnsi="Times New Roman" w:cs="Times New Roman"/>
                      <w:color w:val="auto"/>
                    </w:rPr>
                  </w:pPr>
                  <w:r>
                    <w:rPr>
                      <w:rFonts w:hint="default" w:ascii="Times New Roman" w:hAnsi="Times New Roman" w:cs="Times New Roman"/>
                      <w:color w:val="auto"/>
                      <w:kern w:val="0"/>
                      <w:szCs w:val="21"/>
                    </w:rPr>
                    <w:t>4.1.10探伤室内应安装紧急停机按钮或拉绳，确保出现紧急事故时，能立即停止照射。按钮或拉绳的安装，应使人员处在探伤室内任何位置时都不需要穿过主射线束就能够使用。按钮或拉绳应当带有标签，标明使用方法</w:t>
                  </w:r>
                </w:p>
              </w:tc>
              <w:tc>
                <w:tcPr>
                  <w:tcW w:w="5306" w:type="dxa"/>
                  <w:noWrap w:val="0"/>
                  <w:vAlign w:val="center"/>
                </w:tcPr>
                <w:p>
                  <w:pPr>
                    <w:widowControl/>
                    <w:ind w:firstLine="420" w:firstLineChars="200"/>
                    <w:rPr>
                      <w:rFonts w:hint="default" w:ascii="Times New Roman" w:hAnsi="Times New Roman" w:cs="Times New Roman"/>
                      <w:color w:val="auto"/>
                    </w:rPr>
                  </w:pPr>
                  <w:r>
                    <w:rPr>
                      <w:rFonts w:hint="default" w:ascii="Times New Roman" w:hAnsi="Times New Roman" w:cs="Times New Roman"/>
                      <w:color w:val="auto"/>
                      <w:szCs w:val="21"/>
                      <w:u w:val="none"/>
                    </w:rPr>
                    <w:t>共配有5个急停按钮（探伤室四周墙体各1个，操作台1个，其中东、西侧墙体上的急停按钮应设置为长条形的拉杆式急停拉杆），急停按钮将带有标签，标明使用方法，安装在离地面 1米高的位置。</w:t>
                  </w:r>
                </w:p>
              </w:tc>
              <w:tc>
                <w:tcPr>
                  <w:tcW w:w="5306" w:type="dxa"/>
                  <w:noWrap w:val="0"/>
                  <w:vAlign w:val="center"/>
                </w:tcPr>
                <w:p>
                  <w:pPr>
                    <w:widowControl/>
                    <w:ind w:firstLine="420" w:firstLineChars="200"/>
                    <w:rPr>
                      <w:rFonts w:hint="default" w:ascii="Times New Roman" w:hAnsi="Times New Roman" w:cs="Times New Roman"/>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vMerge w:val="continue"/>
                  <w:noWrap w:val="0"/>
                  <w:vAlign w:val="center"/>
                </w:tcPr>
                <w:p>
                  <w:pPr>
                    <w:pStyle w:val="53"/>
                    <w:ind w:firstLine="420" w:firstLineChars="200"/>
                    <w:jc w:val="both"/>
                    <w:rPr>
                      <w:rFonts w:hint="default" w:ascii="Times New Roman" w:hAnsi="Times New Roman" w:cs="Times New Roman"/>
                      <w:color w:val="auto"/>
                    </w:rPr>
                  </w:pPr>
                </w:p>
              </w:tc>
              <w:tc>
                <w:tcPr>
                  <w:tcW w:w="1276" w:type="dxa"/>
                  <w:vMerge w:val="continue"/>
                  <w:noWrap w:val="0"/>
                  <w:vAlign w:val="center"/>
                </w:tcPr>
                <w:p>
                  <w:pPr>
                    <w:pStyle w:val="53"/>
                    <w:jc w:val="both"/>
                    <w:rPr>
                      <w:rFonts w:hint="default" w:ascii="Times New Roman" w:hAnsi="Times New Roman" w:cs="Times New Roman"/>
                      <w:color w:val="auto"/>
                    </w:rPr>
                  </w:pPr>
                </w:p>
              </w:tc>
              <w:tc>
                <w:tcPr>
                  <w:tcW w:w="5670" w:type="dxa"/>
                  <w:noWrap w:val="0"/>
                  <w:vAlign w:val="center"/>
                </w:tcPr>
                <w:p>
                  <w:pPr>
                    <w:widowControl/>
                    <w:ind w:firstLine="420" w:firstLineChars="200"/>
                    <w:rPr>
                      <w:rFonts w:hint="default" w:ascii="Times New Roman" w:hAnsi="Times New Roman" w:cs="Times New Roman"/>
                      <w:color w:val="auto"/>
                    </w:rPr>
                  </w:pPr>
                  <w:r>
                    <w:rPr>
                      <w:rFonts w:hint="default" w:ascii="Times New Roman" w:hAnsi="Times New Roman" w:cs="Times New Roman"/>
                      <w:color w:val="auto"/>
                      <w:kern w:val="0"/>
                      <w:szCs w:val="21"/>
                    </w:rPr>
                    <w:t>4.1.11探伤室应设置机械通风装置，排风管道外口避免朝向人员活动密集区。每小时有效通风换气次数应不小于3次</w:t>
                  </w:r>
                </w:p>
              </w:tc>
              <w:tc>
                <w:tcPr>
                  <w:tcW w:w="5306" w:type="dxa"/>
                  <w:noWrap w:val="0"/>
                  <w:vAlign w:val="center"/>
                </w:tcPr>
                <w:p>
                  <w:pPr>
                    <w:widowControl/>
                    <w:ind w:firstLine="420" w:firstLineChars="200"/>
                    <w:rPr>
                      <w:rFonts w:hint="default" w:ascii="Times New Roman" w:hAnsi="Times New Roman" w:cs="Times New Roman"/>
                      <w:color w:val="auto"/>
                    </w:rPr>
                  </w:pPr>
                  <w:r>
                    <w:rPr>
                      <w:rFonts w:hint="default" w:ascii="Times New Roman" w:hAnsi="Times New Roman" w:cs="Times New Roman"/>
                      <w:color w:val="auto"/>
                      <w:kern w:val="0"/>
                      <w:szCs w:val="21"/>
                    </w:rPr>
                    <w:t>探伤室设置了机械排风装置，废气排放口远离人员活动的密集区，</w:t>
                  </w:r>
                  <w:r>
                    <w:rPr>
                      <w:rFonts w:hint="eastAsia" w:ascii="Times New Roman" w:hAnsi="Times New Roman" w:cs="Times New Roman"/>
                      <w:color w:val="auto"/>
                      <w:kern w:val="0"/>
                      <w:szCs w:val="21"/>
                      <w:lang w:val="en-US" w:eastAsia="zh-CN"/>
                    </w:rPr>
                    <w:t>风机风量5000m</w:t>
                  </w:r>
                  <w:r>
                    <w:rPr>
                      <w:rFonts w:hint="eastAsia" w:ascii="Times New Roman" w:hAnsi="Times New Roman" w:cs="Times New Roman"/>
                      <w:color w:val="auto"/>
                      <w:kern w:val="0"/>
                      <w:szCs w:val="21"/>
                      <w:vertAlign w:val="superscript"/>
                      <w:lang w:val="en-US" w:eastAsia="zh-CN"/>
                    </w:rPr>
                    <w:t>3</w:t>
                  </w:r>
                  <w:r>
                    <w:rPr>
                      <w:rFonts w:hint="eastAsia" w:ascii="Times New Roman" w:hAnsi="Times New Roman" w:cs="Times New Roman"/>
                      <w:color w:val="auto"/>
                      <w:kern w:val="0"/>
                      <w:szCs w:val="21"/>
                      <w:lang w:val="en-US" w:eastAsia="zh-CN"/>
                    </w:rPr>
                    <w:t>/h</w:t>
                  </w:r>
                  <w:r>
                    <w:rPr>
                      <w:rFonts w:hint="eastAsia" w:ascii="Times New Roman" w:hAnsi="Times New Roman" w:cs="Times New Roman"/>
                      <w:color w:val="auto"/>
                      <w:kern w:val="0"/>
                      <w:szCs w:val="21"/>
                      <w:lang w:eastAsia="zh-CN"/>
                    </w:rPr>
                    <w:t>，</w:t>
                  </w:r>
                  <w:r>
                    <w:rPr>
                      <w:rFonts w:hint="default" w:ascii="Times New Roman" w:hAnsi="Times New Roman" w:cs="Times New Roman"/>
                      <w:color w:val="auto"/>
                      <w:kern w:val="0"/>
                      <w:szCs w:val="21"/>
                    </w:rPr>
                    <w:t>每小时有效通风换气次数</w:t>
                  </w:r>
                  <w:r>
                    <w:rPr>
                      <w:rFonts w:hint="eastAsia" w:ascii="Times New Roman" w:hAnsi="Times New Roman" w:cs="Times New Roman"/>
                      <w:color w:val="auto"/>
                      <w:kern w:val="0"/>
                      <w:szCs w:val="21"/>
                      <w:lang w:val="en-US" w:eastAsia="zh-CN"/>
                    </w:rPr>
                    <w:t>7</w:t>
                  </w:r>
                  <w:r>
                    <w:rPr>
                      <w:rFonts w:hint="default" w:ascii="Times New Roman" w:hAnsi="Times New Roman" w:cs="Times New Roman"/>
                      <w:color w:val="auto"/>
                      <w:kern w:val="0"/>
                      <w:szCs w:val="21"/>
                    </w:rPr>
                    <w:t>次，符合要求</w:t>
                  </w:r>
                </w:p>
              </w:tc>
              <w:tc>
                <w:tcPr>
                  <w:tcW w:w="5306" w:type="dxa"/>
                  <w:noWrap w:val="0"/>
                  <w:vAlign w:val="center"/>
                </w:tcPr>
                <w:p>
                  <w:pPr>
                    <w:widowControl/>
                    <w:ind w:firstLine="420" w:firstLineChars="200"/>
                    <w:rPr>
                      <w:rFonts w:hint="default" w:ascii="Times New Roman" w:hAnsi="Times New Roman" w:cs="Times New Roman"/>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vMerge w:val="restart"/>
                  <w:noWrap w:val="0"/>
                  <w:vAlign w:val="center"/>
                </w:tcPr>
                <w:p>
                  <w:pPr>
                    <w:widowControl/>
                    <w:jc w:val="center"/>
                    <w:rPr>
                      <w:rFonts w:hint="default" w:ascii="Times New Roman" w:hAnsi="Times New Roman" w:cs="Times New Roman"/>
                      <w:color w:val="auto"/>
                    </w:rPr>
                  </w:pPr>
                  <w:r>
                    <w:rPr>
                      <w:rFonts w:hint="default" w:ascii="Times New Roman" w:hAnsi="Times New Roman" w:cs="Times New Roman"/>
                      <w:color w:val="auto"/>
                      <w:kern w:val="0"/>
                      <w:szCs w:val="21"/>
                    </w:rPr>
                    <w:t>《工业X射线探伤室辐射屏蔽规范》</w:t>
                  </w:r>
                  <w:r>
                    <w:rPr>
                      <w:rFonts w:hint="default" w:ascii="Times New Roman" w:hAnsi="Times New Roman" w:cs="Times New Roman"/>
                      <w:color w:val="auto"/>
                      <w:kern w:val="0"/>
                    </w:rPr>
                    <w:t>（GBZ/T250-2014）</w:t>
                  </w:r>
                </w:p>
              </w:tc>
              <w:tc>
                <w:tcPr>
                  <w:tcW w:w="1276" w:type="dxa"/>
                  <w:vMerge w:val="restart"/>
                  <w:noWrap w:val="0"/>
                  <w:vAlign w:val="center"/>
                </w:tcPr>
                <w:p>
                  <w:pPr>
                    <w:widowControl/>
                    <w:rPr>
                      <w:rFonts w:hint="default" w:ascii="Times New Roman" w:hAnsi="Times New Roman" w:cs="Times New Roman"/>
                      <w:color w:val="auto"/>
                    </w:rPr>
                  </w:pPr>
                  <w:r>
                    <w:rPr>
                      <w:rFonts w:hint="default" w:ascii="Times New Roman" w:hAnsi="Times New Roman" w:cs="Times New Roman"/>
                      <w:color w:val="auto"/>
                      <w:kern w:val="0"/>
                      <w:szCs w:val="21"/>
                    </w:rPr>
                    <w:t>3.3其他</w:t>
                  </w:r>
                  <w:r>
                    <w:rPr>
                      <w:rFonts w:hint="default" w:ascii="Times New Roman" w:hAnsi="Times New Roman" w:cs="Times New Roman"/>
                      <w:color w:val="auto"/>
                      <w:kern w:val="0"/>
                    </w:rPr>
                    <w:t>要求</w:t>
                  </w:r>
                </w:p>
              </w:tc>
              <w:tc>
                <w:tcPr>
                  <w:tcW w:w="5670" w:type="dxa"/>
                  <w:noWrap w:val="0"/>
                  <w:vAlign w:val="center"/>
                </w:tcPr>
                <w:p>
                  <w:pPr>
                    <w:widowControl/>
                    <w:ind w:firstLine="420" w:firstLineChars="200"/>
                    <w:rPr>
                      <w:rFonts w:hint="default" w:ascii="Times New Roman" w:hAnsi="Times New Roman" w:cs="Times New Roman"/>
                      <w:color w:val="auto"/>
                    </w:rPr>
                  </w:pPr>
                  <w:r>
                    <w:rPr>
                      <w:rFonts w:hint="default" w:ascii="Times New Roman" w:hAnsi="Times New Roman" w:cs="Times New Roman"/>
                      <w:color w:val="auto"/>
                      <w:kern w:val="0"/>
                      <w:szCs w:val="21"/>
                    </w:rPr>
                    <w:t>3.3.1探伤室一般应设有人员门和单独的工件门。对于探伤可人工搬运的小型工件探伤室，可以仅设人员门。探伤室人员门宜采用迷路形式</w:t>
                  </w:r>
                </w:p>
              </w:tc>
              <w:tc>
                <w:tcPr>
                  <w:tcW w:w="5306" w:type="dxa"/>
                  <w:noWrap w:val="0"/>
                  <w:vAlign w:val="center"/>
                </w:tcPr>
                <w:p>
                  <w:pPr>
                    <w:widowControl/>
                    <w:ind w:firstLine="420" w:firstLineChars="200"/>
                    <w:rPr>
                      <w:rFonts w:hint="default" w:ascii="Times New Roman" w:hAnsi="Times New Roman" w:cs="Times New Roman"/>
                      <w:color w:val="auto"/>
                    </w:rPr>
                  </w:pPr>
                  <w:r>
                    <w:rPr>
                      <w:rFonts w:hint="eastAsia" w:ascii="Times New Roman" w:hAnsi="Times New Roman" w:cs="Times New Roman"/>
                      <w:color w:val="auto"/>
                      <w:kern w:val="0"/>
                      <w:szCs w:val="21"/>
                      <w:u w:val="none"/>
                      <w:lang w:val="en-US" w:eastAsia="zh-CN"/>
                    </w:rPr>
                    <w:t>探伤室设计有两个</w:t>
                  </w:r>
                  <w:r>
                    <w:rPr>
                      <w:rFonts w:hint="default" w:ascii="Times New Roman" w:hAnsi="Times New Roman" w:cs="Times New Roman"/>
                      <w:color w:val="auto"/>
                      <w:kern w:val="0"/>
                      <w:szCs w:val="21"/>
                      <w:u w:val="none"/>
                    </w:rPr>
                    <w:t>铅门</w:t>
                  </w:r>
                  <w:r>
                    <w:rPr>
                      <w:rFonts w:hint="eastAsia" w:ascii="Times New Roman" w:hAnsi="Times New Roman" w:cs="Times New Roman"/>
                      <w:color w:val="auto"/>
                      <w:kern w:val="0"/>
                      <w:szCs w:val="21"/>
                      <w:u w:val="none"/>
                      <w:lang w:eastAsia="zh-CN"/>
                    </w:rPr>
                    <w:t>，</w:t>
                  </w:r>
                  <w:r>
                    <w:rPr>
                      <w:rFonts w:hint="eastAsia" w:ascii="Times New Roman" w:hAnsi="Times New Roman" w:cs="Times New Roman"/>
                      <w:color w:val="auto"/>
                      <w:kern w:val="0"/>
                      <w:szCs w:val="21"/>
                      <w:u w:val="none"/>
                      <w:lang w:val="en-US" w:eastAsia="zh-CN"/>
                    </w:rPr>
                    <w:t>分别</w:t>
                  </w:r>
                  <w:r>
                    <w:rPr>
                      <w:rFonts w:hint="default" w:ascii="Times New Roman" w:hAnsi="Times New Roman" w:cs="Times New Roman"/>
                      <w:color w:val="auto"/>
                      <w:kern w:val="0"/>
                      <w:szCs w:val="21"/>
                      <w:u w:val="none"/>
                    </w:rPr>
                    <w:t>供工件和人员进出</w:t>
                  </w:r>
                  <w:r>
                    <w:rPr>
                      <w:rFonts w:hint="eastAsia" w:ascii="Times New Roman" w:hAnsi="Times New Roman" w:cs="Times New Roman"/>
                      <w:color w:val="auto"/>
                      <w:kern w:val="0"/>
                      <w:szCs w:val="21"/>
                      <w:u w:val="none"/>
                      <w:lang w:eastAsia="zh-CN"/>
                    </w:rPr>
                    <w:t>，</w:t>
                  </w:r>
                  <w:r>
                    <w:rPr>
                      <w:rFonts w:hint="eastAsia" w:ascii="Times New Roman" w:hAnsi="Times New Roman" w:cs="Times New Roman"/>
                      <w:color w:val="auto"/>
                      <w:kern w:val="0"/>
                      <w:szCs w:val="21"/>
                      <w:u w:val="none"/>
                      <w:lang w:val="en-US" w:eastAsia="zh-CN"/>
                    </w:rPr>
                    <w:t>由于探伤室内的运管车和导轨的电力及相关配套设备位于工件活动区域南侧，且探伤机距离南侧的人员出入门较远，故</w:t>
                  </w:r>
                  <w:r>
                    <w:rPr>
                      <w:rFonts w:hint="default" w:ascii="Times New Roman" w:hAnsi="Times New Roman" w:cs="Times New Roman"/>
                      <w:color w:val="auto"/>
                      <w:kern w:val="0"/>
                      <w:szCs w:val="21"/>
                      <w:u w:val="none"/>
                    </w:rPr>
                    <w:t>人员进出门</w:t>
                  </w:r>
                  <w:r>
                    <w:rPr>
                      <w:rFonts w:hint="eastAsia" w:ascii="Times New Roman" w:hAnsi="Times New Roman" w:cs="Times New Roman"/>
                      <w:color w:val="auto"/>
                      <w:kern w:val="0"/>
                      <w:szCs w:val="21"/>
                      <w:u w:val="none"/>
                      <w:lang w:val="en-US" w:eastAsia="zh-CN"/>
                    </w:rPr>
                    <w:t>未设置迷道</w:t>
                  </w:r>
                  <w:r>
                    <w:rPr>
                      <w:rFonts w:hint="default" w:ascii="Times New Roman" w:hAnsi="Times New Roman" w:cs="Times New Roman"/>
                      <w:color w:val="auto"/>
                      <w:kern w:val="0"/>
                      <w:szCs w:val="21"/>
                      <w:u w:val="none"/>
                    </w:rPr>
                    <w:t>。</w:t>
                  </w:r>
                  <w:r>
                    <w:rPr>
                      <w:rFonts w:hint="default" w:ascii="Times New Roman" w:hAnsi="Times New Roman" w:cs="Times New Roman"/>
                      <w:color w:val="auto"/>
                      <w:u w:val="none"/>
                    </w:rPr>
                    <w:t xml:space="preserve"> </w:t>
                  </w:r>
                </w:p>
              </w:tc>
              <w:tc>
                <w:tcPr>
                  <w:tcW w:w="5306" w:type="dxa"/>
                  <w:noWrap w:val="0"/>
                  <w:vAlign w:val="center"/>
                </w:tcPr>
                <w:p>
                  <w:pPr>
                    <w:widowControl/>
                    <w:ind w:firstLine="420" w:firstLineChars="200"/>
                    <w:rPr>
                      <w:rFonts w:hint="default" w:ascii="Times New Roman" w:hAnsi="Times New Roman" w:cs="Times New Roman"/>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vMerge w:val="continue"/>
                  <w:noWrap w:val="0"/>
                  <w:vAlign w:val="center"/>
                </w:tcPr>
                <w:p>
                  <w:pPr>
                    <w:pStyle w:val="53"/>
                    <w:ind w:firstLine="420" w:firstLineChars="200"/>
                    <w:jc w:val="both"/>
                    <w:rPr>
                      <w:rFonts w:hint="default" w:ascii="Times New Roman" w:hAnsi="Times New Roman" w:cs="Times New Roman"/>
                      <w:color w:val="auto"/>
                    </w:rPr>
                  </w:pPr>
                </w:p>
              </w:tc>
              <w:tc>
                <w:tcPr>
                  <w:tcW w:w="1276" w:type="dxa"/>
                  <w:vMerge w:val="continue"/>
                  <w:noWrap w:val="0"/>
                  <w:vAlign w:val="center"/>
                </w:tcPr>
                <w:p>
                  <w:pPr>
                    <w:pStyle w:val="53"/>
                    <w:ind w:firstLine="420" w:firstLineChars="200"/>
                    <w:jc w:val="both"/>
                    <w:rPr>
                      <w:rFonts w:hint="default" w:ascii="Times New Roman" w:hAnsi="Times New Roman" w:cs="Times New Roman"/>
                      <w:color w:val="auto"/>
                    </w:rPr>
                  </w:pPr>
                </w:p>
              </w:tc>
              <w:tc>
                <w:tcPr>
                  <w:tcW w:w="5670" w:type="dxa"/>
                  <w:noWrap w:val="0"/>
                  <w:vAlign w:val="center"/>
                </w:tcPr>
                <w:p>
                  <w:pPr>
                    <w:widowControl/>
                    <w:ind w:firstLine="420" w:firstLineChars="200"/>
                    <w:rPr>
                      <w:rFonts w:hint="default" w:ascii="Times New Roman" w:hAnsi="Times New Roman" w:cs="Times New Roman"/>
                      <w:color w:val="auto"/>
                    </w:rPr>
                  </w:pPr>
                  <w:r>
                    <w:rPr>
                      <w:rFonts w:hint="default" w:ascii="Times New Roman" w:hAnsi="Times New Roman" w:cs="Times New Roman"/>
                      <w:color w:val="auto"/>
                      <w:kern w:val="0"/>
                      <w:szCs w:val="21"/>
                    </w:rPr>
                    <w:t>3.3.2探伤装置的控制室应置于探伤室外，控制室和人员门应避开有用射线束照射方向</w:t>
                  </w:r>
                </w:p>
              </w:tc>
              <w:tc>
                <w:tcPr>
                  <w:tcW w:w="5306" w:type="dxa"/>
                  <w:noWrap w:val="0"/>
                  <w:vAlign w:val="center"/>
                </w:tcPr>
                <w:p>
                  <w:pPr>
                    <w:widowControl/>
                    <w:ind w:firstLine="420" w:firstLineChars="200"/>
                    <w:rPr>
                      <w:rFonts w:hint="default" w:ascii="Times New Roman" w:hAnsi="Times New Roman" w:cs="Times New Roman"/>
                      <w:color w:val="auto"/>
                    </w:rPr>
                  </w:pPr>
                  <w:r>
                    <w:rPr>
                      <w:rFonts w:hint="default" w:ascii="Times New Roman" w:hAnsi="Times New Roman" w:cs="Times New Roman"/>
                      <w:color w:val="auto"/>
                      <w:kern w:val="0"/>
                      <w:szCs w:val="21"/>
                    </w:rPr>
                    <w:t>项目控制室置于探伤室外，X射线探伤机的有用射线束照射方向朝上，避开了控制室和防护门</w:t>
                  </w:r>
                </w:p>
              </w:tc>
              <w:tc>
                <w:tcPr>
                  <w:tcW w:w="5306" w:type="dxa"/>
                  <w:noWrap w:val="0"/>
                  <w:vAlign w:val="center"/>
                </w:tcPr>
                <w:p>
                  <w:pPr>
                    <w:widowControl/>
                    <w:ind w:firstLine="420" w:firstLineChars="200"/>
                    <w:rPr>
                      <w:rFonts w:hint="default" w:ascii="Times New Roman" w:hAnsi="Times New Roman" w:cs="Times New Roman"/>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vMerge w:val="continue"/>
                  <w:noWrap w:val="0"/>
                  <w:vAlign w:val="center"/>
                </w:tcPr>
                <w:p>
                  <w:pPr>
                    <w:pStyle w:val="53"/>
                    <w:ind w:firstLine="420" w:firstLineChars="200"/>
                    <w:jc w:val="both"/>
                    <w:rPr>
                      <w:rFonts w:hint="default" w:ascii="Times New Roman" w:hAnsi="Times New Roman" w:cs="Times New Roman"/>
                      <w:color w:val="auto"/>
                    </w:rPr>
                  </w:pPr>
                </w:p>
              </w:tc>
              <w:tc>
                <w:tcPr>
                  <w:tcW w:w="1276" w:type="dxa"/>
                  <w:vMerge w:val="continue"/>
                  <w:noWrap w:val="0"/>
                  <w:vAlign w:val="center"/>
                </w:tcPr>
                <w:p>
                  <w:pPr>
                    <w:pStyle w:val="53"/>
                    <w:ind w:firstLine="420" w:firstLineChars="200"/>
                    <w:jc w:val="both"/>
                    <w:rPr>
                      <w:rFonts w:hint="default" w:ascii="Times New Roman" w:hAnsi="Times New Roman" w:cs="Times New Roman"/>
                      <w:color w:val="auto"/>
                    </w:rPr>
                  </w:pPr>
                </w:p>
              </w:tc>
              <w:tc>
                <w:tcPr>
                  <w:tcW w:w="5670" w:type="dxa"/>
                  <w:noWrap w:val="0"/>
                  <w:vAlign w:val="center"/>
                </w:tcPr>
                <w:p>
                  <w:pPr>
                    <w:widowControl/>
                    <w:ind w:firstLine="420" w:firstLineChars="200"/>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3.3.3屏蔽设计中，应考虑缝隙、管孔和薄弱环节的屏蔽</w:t>
                  </w:r>
                </w:p>
              </w:tc>
              <w:tc>
                <w:tcPr>
                  <w:tcW w:w="5306" w:type="dxa"/>
                  <w:noWrap w:val="0"/>
                  <w:vAlign w:val="center"/>
                </w:tcPr>
                <w:p>
                  <w:pPr>
                    <w:widowControl/>
                    <w:ind w:firstLine="420" w:firstLineChars="200"/>
                    <w:rPr>
                      <w:rFonts w:hint="default" w:ascii="Times New Roman" w:hAnsi="Times New Roman" w:cs="Times New Roman"/>
                      <w:color w:val="auto"/>
                    </w:rPr>
                  </w:pPr>
                  <w:r>
                    <w:rPr>
                      <w:rFonts w:hint="default" w:ascii="Times New Roman" w:hAnsi="Times New Roman" w:cs="Times New Roman"/>
                      <w:color w:val="auto"/>
                      <w:kern w:val="0"/>
                      <w:szCs w:val="21"/>
                    </w:rPr>
                    <w:t>预埋管竖直方向和水平方向均与地面形成45°角度斜穿屏蔽墙，并在预埋管道的入口或出口应有一定厚度的屏蔽盖板</w:t>
                  </w:r>
                </w:p>
              </w:tc>
              <w:tc>
                <w:tcPr>
                  <w:tcW w:w="5306" w:type="dxa"/>
                  <w:noWrap w:val="0"/>
                  <w:vAlign w:val="center"/>
                </w:tcPr>
                <w:p>
                  <w:pPr>
                    <w:widowControl/>
                    <w:ind w:firstLine="420" w:firstLineChars="200"/>
                    <w:rPr>
                      <w:rFonts w:hint="default" w:ascii="Times New Roman" w:hAnsi="Times New Roman" w:cs="Times New Roman"/>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vMerge w:val="continue"/>
                  <w:noWrap w:val="0"/>
                  <w:vAlign w:val="center"/>
                </w:tcPr>
                <w:p>
                  <w:pPr>
                    <w:pStyle w:val="53"/>
                    <w:ind w:firstLine="420" w:firstLineChars="200"/>
                    <w:jc w:val="both"/>
                    <w:rPr>
                      <w:rFonts w:hint="default" w:ascii="Times New Roman" w:hAnsi="Times New Roman" w:cs="Times New Roman"/>
                      <w:color w:val="auto"/>
                    </w:rPr>
                  </w:pPr>
                </w:p>
              </w:tc>
              <w:tc>
                <w:tcPr>
                  <w:tcW w:w="1276" w:type="dxa"/>
                  <w:vMerge w:val="continue"/>
                  <w:noWrap w:val="0"/>
                  <w:vAlign w:val="center"/>
                </w:tcPr>
                <w:p>
                  <w:pPr>
                    <w:pStyle w:val="53"/>
                    <w:ind w:firstLine="420" w:firstLineChars="200"/>
                    <w:jc w:val="both"/>
                    <w:rPr>
                      <w:rFonts w:hint="default" w:ascii="Times New Roman" w:hAnsi="Times New Roman" w:cs="Times New Roman"/>
                      <w:color w:val="auto"/>
                    </w:rPr>
                  </w:pPr>
                </w:p>
              </w:tc>
              <w:tc>
                <w:tcPr>
                  <w:tcW w:w="5670" w:type="dxa"/>
                  <w:noWrap w:val="0"/>
                  <w:vAlign w:val="center"/>
                </w:tcPr>
                <w:p>
                  <w:pPr>
                    <w:widowControl/>
                    <w:ind w:firstLine="420" w:firstLineChars="200"/>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3.3.4当探伤室使用多台X射线探伤装置时，按最高管电压和相应该管电压下的常用最大管电流设计屏蔽</w:t>
                  </w:r>
                </w:p>
              </w:tc>
              <w:tc>
                <w:tcPr>
                  <w:tcW w:w="5306" w:type="dxa"/>
                  <w:noWrap w:val="0"/>
                  <w:vAlign w:val="center"/>
                </w:tcPr>
                <w:p>
                  <w:pPr>
                    <w:widowControl/>
                    <w:ind w:firstLine="420" w:firstLineChars="200"/>
                    <w:rPr>
                      <w:rFonts w:hint="default" w:ascii="Times New Roman" w:hAnsi="Times New Roman" w:cs="Times New Roman"/>
                      <w:color w:val="auto"/>
                    </w:rPr>
                  </w:pPr>
                  <w:r>
                    <w:rPr>
                      <w:rFonts w:hint="default" w:ascii="Times New Roman" w:hAnsi="Times New Roman" w:cs="Times New Roman"/>
                      <w:color w:val="auto"/>
                      <w:kern w:val="0"/>
                      <w:szCs w:val="21"/>
                    </w:rPr>
                    <w:t>项目探伤室各屏蔽体均能满足各X射线探伤设备的屏蔽要求</w:t>
                  </w:r>
                </w:p>
              </w:tc>
              <w:tc>
                <w:tcPr>
                  <w:tcW w:w="5306" w:type="dxa"/>
                  <w:noWrap w:val="0"/>
                  <w:vAlign w:val="center"/>
                </w:tcPr>
                <w:p>
                  <w:pPr>
                    <w:widowControl/>
                    <w:ind w:firstLine="420" w:firstLineChars="200"/>
                    <w:rPr>
                      <w:rFonts w:hint="default" w:ascii="Times New Roman" w:hAnsi="Times New Roman" w:cs="Times New Roman"/>
                      <w:color w:val="auto"/>
                      <w:kern w:val="0"/>
                      <w:szCs w:val="21"/>
                    </w:rPr>
                  </w:pPr>
                </w:p>
              </w:tc>
            </w:tr>
          </w:tbl>
          <w:p>
            <w:pPr>
              <w:pStyle w:val="47"/>
              <w:rPr>
                <w:rFonts w:hint="default" w:ascii="Times New Roman" w:hAnsi="Times New Roman" w:cs="Times New Roman"/>
                <w:color w:val="auto"/>
                <w:kern w:val="0"/>
              </w:rPr>
            </w:pPr>
            <w:r>
              <w:rPr>
                <w:rFonts w:hint="default" w:ascii="Times New Roman" w:hAnsi="Times New Roman" w:cs="Times New Roman"/>
                <w:color w:val="auto"/>
                <w:kern w:val="0"/>
              </w:rPr>
              <w:t>根据表10-3可知，本项目采取的辐射安全与防护措施满足《工业X射线探伤放射防护要求》（GBZ117－2015）、《工业X射线探伤室辐射屏蔽规范》（GBZ/T250-2014）的要求。</w:t>
            </w:r>
          </w:p>
          <w:p>
            <w:pPr>
              <w:pStyle w:val="47"/>
              <w:rPr>
                <w:color w:val="auto"/>
                <w:kern w:val="0"/>
              </w:rPr>
            </w:pPr>
          </w:p>
          <w:p>
            <w:pPr>
              <w:pStyle w:val="47"/>
              <w:rPr>
                <w:color w:val="auto"/>
                <w:kern w:val="0"/>
              </w:rPr>
            </w:pPr>
          </w:p>
          <w:p>
            <w:pPr>
              <w:pStyle w:val="47"/>
              <w:rPr>
                <w:color w:val="auto"/>
                <w:kern w:val="0"/>
              </w:rPr>
            </w:pPr>
          </w:p>
          <w:p>
            <w:pPr>
              <w:pStyle w:val="47"/>
              <w:rPr>
                <w:color w:val="auto"/>
                <w:kern w:val="0"/>
              </w:rPr>
            </w:pPr>
          </w:p>
          <w:p>
            <w:pPr>
              <w:pStyle w:val="47"/>
              <w:rPr>
                <w:color w:val="auto"/>
                <w:kern w:val="0"/>
              </w:rPr>
            </w:pPr>
          </w:p>
          <w:p>
            <w:pPr>
              <w:pStyle w:val="47"/>
              <w:rPr>
                <w:color w:val="auto"/>
                <w:kern w:val="0"/>
              </w:rPr>
            </w:pPr>
          </w:p>
          <w:p>
            <w:pPr>
              <w:pStyle w:val="47"/>
              <w:rPr>
                <w:color w:val="auto"/>
                <w:kern w:val="0"/>
              </w:rPr>
            </w:pPr>
          </w:p>
          <w:p>
            <w:pPr>
              <w:pStyle w:val="47"/>
              <w:rPr>
                <w:color w:val="auto"/>
                <w:kern w:val="0"/>
              </w:rPr>
            </w:pPr>
          </w:p>
          <w:p>
            <w:pPr>
              <w:pStyle w:val="47"/>
              <w:rPr>
                <w:color w:val="auto"/>
                <w:kern w:val="0"/>
              </w:rPr>
            </w:pPr>
          </w:p>
          <w:p>
            <w:pPr>
              <w:pStyle w:val="47"/>
              <w:rPr>
                <w:color w:val="auto"/>
                <w:kern w:val="0"/>
              </w:rPr>
            </w:pPr>
          </w:p>
          <w:p>
            <w:pPr>
              <w:pStyle w:val="47"/>
              <w:rPr>
                <w:color w:val="auto"/>
                <w:kern w:val="0"/>
              </w:rPr>
            </w:pPr>
          </w:p>
          <w:p>
            <w:pPr>
              <w:pStyle w:val="47"/>
              <w:rPr>
                <w:color w:val="auto"/>
              </w:rPr>
            </w:pPr>
          </w:p>
        </w:tc>
      </w:tr>
    </w:tbl>
    <w:p>
      <w:pPr>
        <w:pStyle w:val="51"/>
        <w:rPr>
          <w:color w:val="auto"/>
        </w:rPr>
        <w:sectPr>
          <w:pgSz w:w="16838" w:h="11906" w:orient="landscape"/>
          <w:pgMar w:top="1800" w:right="1440" w:bottom="1800" w:left="1440" w:header="851" w:footer="992" w:gutter="0"/>
          <w:cols w:space="720" w:num="1"/>
          <w:docGrid w:type="lines" w:linePitch="312" w:charSpace="0"/>
        </w:sectPr>
      </w:pPr>
    </w:p>
    <w:p>
      <w:pPr>
        <w:pStyle w:val="51"/>
        <w:rPr>
          <w:color w:val="auto"/>
        </w:rPr>
      </w:pPr>
      <w:bookmarkStart w:id="131" w:name="_Toc6600"/>
      <w:r>
        <w:rPr>
          <w:rFonts w:hint="eastAsia"/>
          <w:color w:val="auto"/>
        </w:rPr>
        <w:t>表11环境影响分析</w:t>
      </w:r>
      <w:bookmarkEnd w:id="131"/>
    </w:p>
    <w:tbl>
      <w:tblPr>
        <w:tblStyle w:val="23"/>
        <w:tblW w:w="85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41" w:hRule="atLeast"/>
        </w:trPr>
        <w:tc>
          <w:tcPr>
            <w:tcW w:w="8537" w:type="dxa"/>
            <w:noWrap w:val="0"/>
            <w:vAlign w:val="top"/>
          </w:tcPr>
          <w:p>
            <w:pPr>
              <w:pStyle w:val="45"/>
              <w:spacing w:before="156" w:after="156"/>
              <w:rPr>
                <w:rFonts w:hint="default" w:ascii="Times New Roman" w:hAnsi="Times New Roman" w:cs="Times New Roman"/>
                <w:color w:val="auto"/>
              </w:rPr>
            </w:pPr>
            <w:r>
              <w:rPr>
                <w:rFonts w:hint="default" w:ascii="Times New Roman" w:hAnsi="Times New Roman" w:cs="Times New Roman"/>
                <w:color w:val="auto"/>
              </w:rPr>
              <w:t>11.1施工期及设备调试期环境影响分析</w:t>
            </w:r>
          </w:p>
          <w:p>
            <w:pPr>
              <w:pStyle w:val="47"/>
              <w:ind w:firstLine="482"/>
              <w:rPr>
                <w:rFonts w:hint="default" w:ascii="Times New Roman" w:hAnsi="Times New Roman" w:cs="Times New Roman"/>
                <w:b/>
                <w:bCs/>
                <w:color w:val="auto"/>
              </w:rPr>
            </w:pPr>
            <w:r>
              <w:rPr>
                <w:rFonts w:hint="default" w:ascii="Times New Roman" w:hAnsi="Times New Roman" w:cs="Times New Roman"/>
                <w:b/>
                <w:bCs/>
                <w:color w:val="auto"/>
              </w:rPr>
              <w:t>1、施工期环境影响分析</w:t>
            </w:r>
          </w:p>
          <w:p>
            <w:pPr>
              <w:pStyle w:val="47"/>
              <w:rPr>
                <w:rFonts w:hint="default" w:ascii="Times New Roman" w:hAnsi="Times New Roman" w:cs="Times New Roman"/>
                <w:color w:val="auto"/>
              </w:rPr>
            </w:pPr>
            <w:r>
              <w:rPr>
                <w:rFonts w:hint="default" w:ascii="Times New Roman" w:hAnsi="Times New Roman" w:cs="Times New Roman"/>
                <w:color w:val="auto"/>
              </w:rPr>
              <w:t>根据前节工程分析介绍，本项目施工期主要是探伤室的建设和设备的安装。污染因子有：噪声、扬尘、废水、固体废物等。施工产生的污染特别是扬尘和噪声可对厂区自身环境以及周围的环境带来一定影响。</w:t>
            </w:r>
          </w:p>
          <w:p>
            <w:pPr>
              <w:pStyle w:val="47"/>
              <w:rPr>
                <w:rFonts w:hint="default" w:ascii="Times New Roman" w:hAnsi="Times New Roman" w:cs="Times New Roman"/>
                <w:color w:val="auto"/>
              </w:rPr>
            </w:pPr>
            <w:r>
              <w:rPr>
                <w:rFonts w:hint="default" w:ascii="Times New Roman" w:hAnsi="Times New Roman" w:cs="Times New Roman"/>
                <w:color w:val="auto"/>
              </w:rPr>
              <w:t>施工期主要的污染因子有：噪声、扬尘、废水、固体废物等。</w:t>
            </w:r>
          </w:p>
          <w:p>
            <w:pPr>
              <w:pStyle w:val="47"/>
              <w:rPr>
                <w:rFonts w:hint="default" w:ascii="Times New Roman" w:hAnsi="Times New Roman" w:cs="Times New Roman"/>
                <w:color w:val="auto"/>
              </w:rPr>
            </w:pPr>
            <w:r>
              <w:rPr>
                <w:rFonts w:hint="default" w:ascii="Times New Roman" w:hAnsi="Times New Roman" w:cs="Times New Roman"/>
                <w:color w:val="auto"/>
              </w:rPr>
              <w:t>（1）扬尘及防治措施</w:t>
            </w:r>
          </w:p>
          <w:p>
            <w:pPr>
              <w:pStyle w:val="47"/>
              <w:rPr>
                <w:rFonts w:hint="default" w:ascii="Times New Roman" w:hAnsi="Times New Roman" w:cs="Times New Roman"/>
                <w:color w:val="auto"/>
              </w:rPr>
            </w:pPr>
            <w:r>
              <w:rPr>
                <w:rFonts w:hint="default" w:ascii="Times New Roman" w:hAnsi="Times New Roman" w:cs="Times New Roman"/>
                <w:color w:val="auto"/>
              </w:rPr>
              <w:t>主要为土建施工和设备安装时的产生的施工扬尘。为减小施工期间扬尘对外界环境的影响，施工单位应做到以下几点：加强施工现场管理，应进行适当的洒水降尘处理、合理安排渣土和建筑材料的堆放并加盖防尘网等措施。</w:t>
            </w:r>
          </w:p>
          <w:p>
            <w:pPr>
              <w:pStyle w:val="47"/>
              <w:rPr>
                <w:rFonts w:hint="default" w:ascii="Times New Roman" w:hAnsi="Times New Roman" w:cs="Times New Roman"/>
                <w:color w:val="auto"/>
              </w:rPr>
            </w:pPr>
            <w:r>
              <w:rPr>
                <w:rFonts w:hint="default" w:ascii="Times New Roman" w:hAnsi="Times New Roman" w:cs="Times New Roman"/>
                <w:color w:val="auto"/>
              </w:rPr>
              <w:t>（2）废水及防治措施</w:t>
            </w:r>
          </w:p>
          <w:p>
            <w:pPr>
              <w:pStyle w:val="47"/>
              <w:rPr>
                <w:rFonts w:hint="default" w:ascii="Times New Roman" w:hAnsi="Times New Roman" w:cs="Times New Roman"/>
                <w:color w:val="auto"/>
              </w:rPr>
            </w:pPr>
            <w:r>
              <w:rPr>
                <w:rFonts w:hint="default" w:ascii="Times New Roman" w:hAnsi="Times New Roman" w:cs="Times New Roman"/>
                <w:color w:val="auto"/>
              </w:rPr>
              <w:t>施工期间产生的废水主要表现为施工人员的生活污水。生活污水依托公司的排水系统，进入市政污水网管。</w:t>
            </w:r>
          </w:p>
          <w:p>
            <w:pPr>
              <w:pStyle w:val="47"/>
              <w:rPr>
                <w:rFonts w:hint="default" w:ascii="Times New Roman" w:hAnsi="Times New Roman" w:cs="Times New Roman"/>
                <w:color w:val="auto"/>
              </w:rPr>
            </w:pPr>
            <w:r>
              <w:rPr>
                <w:rFonts w:hint="default" w:ascii="Times New Roman" w:hAnsi="Times New Roman" w:cs="Times New Roman"/>
                <w:color w:val="auto"/>
              </w:rPr>
              <w:t>（3）噪声及防治措施</w:t>
            </w:r>
          </w:p>
          <w:p>
            <w:pPr>
              <w:pStyle w:val="47"/>
              <w:rPr>
                <w:rFonts w:hint="default" w:ascii="Times New Roman" w:hAnsi="Times New Roman" w:cs="Times New Roman"/>
                <w:color w:val="auto"/>
              </w:rPr>
            </w:pPr>
            <w:r>
              <w:rPr>
                <w:rFonts w:hint="default" w:ascii="Times New Roman" w:hAnsi="Times New Roman" w:cs="Times New Roman"/>
                <w:color w:val="auto"/>
              </w:rPr>
              <w:t>主要来自于探伤室及设备的安装及现场处理等。通过选取噪音低、振动小的设备操作等，并合理安排施工时间等措施能减轻对外界的影响。</w:t>
            </w:r>
          </w:p>
          <w:p>
            <w:pPr>
              <w:pStyle w:val="47"/>
              <w:rPr>
                <w:rFonts w:hint="default" w:ascii="Times New Roman" w:hAnsi="Times New Roman" w:cs="Times New Roman"/>
                <w:color w:val="auto"/>
              </w:rPr>
            </w:pPr>
            <w:r>
              <w:rPr>
                <w:rFonts w:hint="default" w:ascii="Times New Roman" w:hAnsi="Times New Roman" w:cs="Times New Roman"/>
                <w:color w:val="auto"/>
              </w:rPr>
              <w:t>（4）固体废物及防治措施</w:t>
            </w:r>
          </w:p>
          <w:p>
            <w:pPr>
              <w:pStyle w:val="47"/>
              <w:rPr>
                <w:rFonts w:hint="default" w:ascii="Times New Roman" w:hAnsi="Times New Roman" w:cs="Times New Roman"/>
                <w:color w:val="auto"/>
              </w:rPr>
            </w:pPr>
            <w:r>
              <w:rPr>
                <w:rFonts w:hint="default" w:ascii="Times New Roman" w:hAnsi="Times New Roman" w:cs="Times New Roman"/>
                <w:color w:val="auto"/>
              </w:rPr>
              <w:t>主要为建筑垃圾、装修垃圾以及施工人员产生的生活垃圾。施工期产生的固体废物应妥善处理，无回收价值的建筑废料统一收集后，运输至合法堆场堆放。生活垃圾以及装修垃圾经统一收集后交由市政环卫部门处理。</w:t>
            </w:r>
          </w:p>
          <w:p>
            <w:pPr>
              <w:pStyle w:val="47"/>
              <w:rPr>
                <w:rFonts w:hint="default" w:ascii="Times New Roman" w:hAnsi="Times New Roman" w:cs="Times New Roman"/>
                <w:color w:val="auto"/>
              </w:rPr>
            </w:pPr>
            <w:r>
              <w:rPr>
                <w:rFonts w:hint="default" w:ascii="Times New Roman" w:hAnsi="Times New Roman" w:cs="Times New Roman"/>
                <w:color w:val="auto"/>
              </w:rPr>
              <w:t>本项目工程量小，施工期短，且在公司厂区内施工，对外界的影响很小，随着施工期的结束，影响也将消失。通过采取相应的污染防治措施后，本项目对外界的影响小。</w:t>
            </w:r>
          </w:p>
          <w:p>
            <w:pPr>
              <w:pStyle w:val="47"/>
              <w:ind w:firstLine="482"/>
              <w:rPr>
                <w:rFonts w:hint="default" w:ascii="Times New Roman" w:hAnsi="Times New Roman" w:cs="Times New Roman"/>
                <w:b/>
                <w:bCs/>
                <w:color w:val="auto"/>
              </w:rPr>
            </w:pPr>
            <w:r>
              <w:rPr>
                <w:rFonts w:hint="default" w:ascii="Times New Roman" w:hAnsi="Times New Roman" w:cs="Times New Roman"/>
                <w:b/>
                <w:bCs/>
                <w:color w:val="auto"/>
              </w:rPr>
              <w:t>2、设备调试期环境影响分析</w:t>
            </w:r>
          </w:p>
          <w:p>
            <w:pPr>
              <w:pStyle w:val="47"/>
              <w:rPr>
                <w:rFonts w:hint="default" w:ascii="Times New Roman" w:hAnsi="Times New Roman" w:cs="Times New Roman"/>
                <w:color w:val="auto"/>
              </w:rPr>
            </w:pPr>
            <w:r>
              <w:rPr>
                <w:rFonts w:hint="default" w:ascii="Times New Roman" w:hAnsi="Times New Roman" w:cs="Times New Roman"/>
                <w:color w:val="auto"/>
              </w:rPr>
              <w:t>项目建设完毕正式投入运营前需进行设备调试，本项目X射线探伤机在设备调试过程中主要的污染物是X射线贯穿辐射。</w:t>
            </w:r>
          </w:p>
          <w:p>
            <w:pPr>
              <w:pStyle w:val="47"/>
              <w:rPr>
                <w:rFonts w:hint="default" w:ascii="Times New Roman" w:hAnsi="Times New Roman" w:cs="Times New Roman"/>
                <w:color w:val="auto"/>
              </w:rPr>
            </w:pPr>
            <w:r>
              <w:rPr>
                <w:rFonts w:hint="default" w:ascii="Times New Roman" w:hAnsi="Times New Roman" w:cs="Times New Roman"/>
                <w:color w:val="auto"/>
              </w:rPr>
              <w:t>在设备安装调试前，各项防护措施按要求落实到位，调试阶段应加强辐射防护管理，禁止无关人员靠近。人员离开时探伤室必须上锁并派人看守。由于设备的安装和调试均在探伤室内进行，经过墙体的屏蔽和距离衰减后对环境的辐射影响较小。</w:t>
            </w:r>
          </w:p>
          <w:p>
            <w:pPr>
              <w:pStyle w:val="45"/>
              <w:spacing w:before="156" w:after="156"/>
              <w:rPr>
                <w:rFonts w:hint="default" w:ascii="Times New Roman" w:hAnsi="Times New Roman" w:cs="Times New Roman"/>
                <w:color w:val="auto"/>
              </w:rPr>
            </w:pPr>
            <w:r>
              <w:rPr>
                <w:rFonts w:hint="default" w:ascii="Times New Roman" w:hAnsi="Times New Roman" w:cs="Times New Roman"/>
                <w:color w:val="auto"/>
              </w:rPr>
              <w:t>11.2运行期辐射环境影响评价</w:t>
            </w:r>
          </w:p>
          <w:p>
            <w:pPr>
              <w:pStyle w:val="47"/>
              <w:rPr>
                <w:rFonts w:hint="default" w:ascii="Times New Roman" w:hAnsi="Times New Roman" w:cs="Times New Roman"/>
                <w:color w:val="auto"/>
              </w:rPr>
            </w:pPr>
            <w:r>
              <w:rPr>
                <w:rFonts w:hint="default" w:ascii="Times New Roman" w:hAnsi="Times New Roman" w:cs="Times New Roman"/>
                <w:color w:val="auto"/>
              </w:rPr>
              <w:t>本项目X射线探伤机在无损检测过程中，主要的污染物是X射线贯穿辐射。</w:t>
            </w:r>
          </w:p>
          <w:p>
            <w:pPr>
              <w:pStyle w:val="42"/>
              <w:rPr>
                <w:rFonts w:hint="default" w:ascii="Times New Roman" w:hAnsi="Times New Roman" w:cs="Times New Roman"/>
                <w:color w:val="auto"/>
              </w:rPr>
            </w:pPr>
            <w:r>
              <w:rPr>
                <w:rFonts w:hint="default" w:ascii="Times New Roman" w:hAnsi="Times New Roman" w:cs="Times New Roman"/>
                <w:color w:val="auto"/>
              </w:rPr>
              <w:t>11.2.1探伤机主要参数</w:t>
            </w:r>
          </w:p>
          <w:p>
            <w:pPr>
              <w:pStyle w:val="47"/>
              <w:rPr>
                <w:rFonts w:hint="default" w:ascii="Times New Roman" w:hAnsi="Times New Roman" w:cs="Times New Roman"/>
                <w:color w:val="auto"/>
              </w:rPr>
            </w:pPr>
            <w:r>
              <w:rPr>
                <w:rFonts w:hint="default" w:ascii="Times New Roman" w:hAnsi="Times New Roman" w:cs="Times New Roman"/>
                <w:color w:val="auto"/>
              </w:rPr>
              <w:t>根据设备厂商提供资料本项目使用的探伤机主要技术参数见表11-1。居留因子见表11-2。X射线探伤装置工作负荷见表11-3。</w:t>
            </w:r>
          </w:p>
          <w:p>
            <w:pPr>
              <w:pStyle w:val="49"/>
              <w:rPr>
                <w:rFonts w:hint="default" w:ascii="Times New Roman" w:hAnsi="Times New Roman" w:cs="Times New Roman"/>
                <w:color w:val="auto"/>
              </w:rPr>
            </w:pPr>
            <w:r>
              <w:rPr>
                <w:rFonts w:hint="default" w:ascii="Times New Roman" w:hAnsi="Times New Roman" w:cs="Times New Roman"/>
                <w:color w:val="auto"/>
              </w:rPr>
              <w:t>表11-1  X射线探伤机及计算参数表</w:t>
            </w:r>
          </w:p>
          <w:tbl>
            <w:tblPr>
              <w:tblStyle w:val="2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55"/>
              <w:gridCol w:w="41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0" w:type="dxa"/>
                  <w:noWrap w:val="0"/>
                  <w:vAlign w:val="center"/>
                </w:tcPr>
                <w:p>
                  <w:pPr>
                    <w:jc w:val="center"/>
                    <w:rPr>
                      <w:rFonts w:hint="default" w:ascii="Times New Roman" w:hAnsi="Times New Roman" w:cs="Times New Roman"/>
                      <w:b/>
                      <w:bCs/>
                      <w:color w:val="auto"/>
                    </w:rPr>
                  </w:pPr>
                  <w:r>
                    <w:rPr>
                      <w:rFonts w:hint="default" w:ascii="Times New Roman" w:hAnsi="Times New Roman" w:cs="Times New Roman"/>
                      <w:b/>
                      <w:bCs/>
                      <w:color w:val="auto"/>
                    </w:rPr>
                    <w:t>项目</w:t>
                  </w:r>
                </w:p>
              </w:tc>
              <w:tc>
                <w:tcPr>
                  <w:tcW w:w="4150" w:type="dxa"/>
                  <w:noWrap w:val="0"/>
                  <w:vAlign w:val="center"/>
                </w:tcPr>
                <w:p>
                  <w:pPr>
                    <w:jc w:val="center"/>
                    <w:rPr>
                      <w:rFonts w:hint="default" w:ascii="Times New Roman" w:hAnsi="Times New Roman" w:cs="Times New Roman"/>
                      <w:b/>
                      <w:bCs/>
                      <w:color w:val="auto"/>
                    </w:rPr>
                  </w:pPr>
                  <w:r>
                    <w:rPr>
                      <w:rFonts w:hint="default" w:ascii="Times New Roman" w:hAnsi="Times New Roman" w:cs="Times New Roman"/>
                      <w:b/>
                      <w:bCs/>
                      <w:color w:val="auto"/>
                    </w:rPr>
                    <w:t>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0" w:type="dxa"/>
                  <w:noWrap w:val="0"/>
                  <w:vAlign w:val="center"/>
                </w:tcPr>
                <w:p>
                  <w:pPr>
                    <w:jc w:val="center"/>
                    <w:rPr>
                      <w:rFonts w:hint="default" w:ascii="Times New Roman" w:hAnsi="Times New Roman" w:cs="Times New Roman"/>
                      <w:b/>
                      <w:bCs/>
                      <w:color w:val="auto"/>
                    </w:rPr>
                  </w:pPr>
                  <w:r>
                    <w:rPr>
                      <w:rFonts w:hint="default" w:ascii="Times New Roman" w:hAnsi="Times New Roman" w:cs="Times New Roman"/>
                      <w:b/>
                      <w:bCs/>
                      <w:color w:val="auto"/>
                    </w:rPr>
                    <w:t>最大管电压</w:t>
                  </w:r>
                </w:p>
              </w:tc>
              <w:tc>
                <w:tcPr>
                  <w:tcW w:w="4150" w:type="dxa"/>
                  <w:noWrap w:val="0"/>
                  <w:vAlign w:val="center"/>
                </w:tcPr>
                <w:p>
                  <w:pPr>
                    <w:jc w:val="center"/>
                    <w:rPr>
                      <w:rFonts w:hint="default" w:ascii="Times New Roman" w:hAnsi="Times New Roman" w:cs="Times New Roman"/>
                      <w:color w:val="auto"/>
                    </w:rPr>
                  </w:pPr>
                  <w:r>
                    <w:rPr>
                      <w:rFonts w:hint="eastAsia" w:ascii="Times New Roman" w:hAnsi="Times New Roman" w:cs="Times New Roman"/>
                      <w:color w:val="auto"/>
                      <w:lang w:val="en-US" w:eastAsia="zh-CN"/>
                    </w:rPr>
                    <w:t>450</w:t>
                  </w:r>
                  <w:r>
                    <w:rPr>
                      <w:rFonts w:hint="default" w:ascii="Times New Roman" w:hAnsi="Times New Roman" w:cs="Times New Roman"/>
                      <w:color w:val="auto"/>
                    </w:rPr>
                    <w:t>kV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0" w:type="dxa"/>
                  <w:noWrap w:val="0"/>
                  <w:vAlign w:val="center"/>
                </w:tcPr>
                <w:p>
                  <w:pPr>
                    <w:jc w:val="center"/>
                    <w:rPr>
                      <w:rFonts w:hint="default" w:ascii="Times New Roman" w:hAnsi="Times New Roman" w:cs="Times New Roman"/>
                      <w:b/>
                      <w:bCs/>
                      <w:color w:val="auto"/>
                    </w:rPr>
                  </w:pPr>
                  <w:r>
                    <w:rPr>
                      <w:rFonts w:hint="default" w:ascii="Times New Roman" w:hAnsi="Times New Roman" w:cs="Times New Roman"/>
                      <w:b/>
                      <w:bCs/>
                      <w:color w:val="auto"/>
                    </w:rPr>
                    <w:t>最大管电流</w:t>
                  </w:r>
                </w:p>
              </w:tc>
              <w:tc>
                <w:tcPr>
                  <w:tcW w:w="4150" w:type="dxa"/>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3</w:t>
                  </w:r>
                  <w:r>
                    <w:rPr>
                      <w:rFonts w:hint="eastAsia" w:ascii="Times New Roman" w:hAnsi="Times New Roman" w:cs="Times New Roman"/>
                      <w:color w:val="auto"/>
                      <w:lang w:val="en-US" w:eastAsia="zh-CN"/>
                    </w:rPr>
                    <w:t>0</w:t>
                  </w:r>
                  <w:r>
                    <w:rPr>
                      <w:rFonts w:hint="default" w:ascii="Times New Roman" w:hAnsi="Times New Roman" w:cs="Times New Roman"/>
                      <w:color w:val="auto"/>
                    </w:rPr>
                    <w:t>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0" w:type="dxa"/>
                  <w:noWrap w:val="0"/>
                  <w:vAlign w:val="center"/>
                </w:tcPr>
                <w:p>
                  <w:pPr>
                    <w:pStyle w:val="53"/>
                    <w:rPr>
                      <w:rFonts w:hint="default" w:ascii="Times New Roman" w:hAnsi="Times New Roman" w:cs="Times New Roman"/>
                      <w:b/>
                      <w:color w:val="auto"/>
                    </w:rPr>
                  </w:pPr>
                  <w:r>
                    <w:rPr>
                      <w:rFonts w:hint="default" w:ascii="Times New Roman" w:hAnsi="Times New Roman" w:cs="Times New Roman"/>
                      <w:b/>
                      <w:color w:val="auto"/>
                    </w:rPr>
                    <w:t>辐射输出剂量率</w:t>
                  </w:r>
                </w:p>
              </w:tc>
              <w:tc>
                <w:tcPr>
                  <w:tcW w:w="4150" w:type="dxa"/>
                  <w:noWrap w:val="0"/>
                  <w:vAlign w:val="center"/>
                </w:tcPr>
                <w:p>
                  <w:pPr>
                    <w:pStyle w:val="53"/>
                    <w:rPr>
                      <w:rFonts w:hint="default" w:ascii="Times New Roman" w:hAnsi="Times New Roman" w:cs="Times New Roman"/>
                      <w:color w:val="auto"/>
                    </w:rPr>
                  </w:pPr>
                  <w:r>
                    <w:rPr>
                      <w:rFonts w:hint="eastAsia" w:cs="Times New Roman"/>
                      <w:color w:val="auto"/>
                      <w:lang w:val="en-US" w:eastAsia="zh-CN"/>
                    </w:rPr>
                    <w:t>1.8</w:t>
                  </w:r>
                  <w:r>
                    <w:rPr>
                      <w:rFonts w:hint="default" w:ascii="Times New Roman" w:hAnsi="Times New Roman" w:cs="Times New Roman"/>
                      <w:color w:val="auto"/>
                    </w:rPr>
                    <w:t>E+</w:t>
                  </w:r>
                  <w:r>
                    <w:rPr>
                      <w:rFonts w:hint="eastAsia" w:cs="Times New Roman"/>
                      <w:color w:val="auto"/>
                      <w:lang w:val="en-US" w:eastAsia="zh-CN"/>
                    </w:rPr>
                    <w:t>07</w:t>
                  </w:r>
                  <w:r>
                    <w:rPr>
                      <w:rFonts w:hint="default" w:ascii="Times New Roman" w:hAnsi="Times New Roman" w:cs="Times New Roman"/>
                      <w:color w:val="auto"/>
                    </w:rPr>
                    <w:t>μSv·m</w:t>
                  </w:r>
                  <w:r>
                    <w:rPr>
                      <w:rFonts w:hint="default" w:ascii="Times New Roman" w:hAnsi="Times New Roman" w:cs="Times New Roman"/>
                      <w:color w:val="auto"/>
                      <w:szCs w:val="14"/>
                      <w:vertAlign w:val="superscript"/>
                    </w:rPr>
                    <w:t>2</w:t>
                  </w:r>
                  <w:r>
                    <w:rPr>
                      <w:rFonts w:hint="default" w:ascii="Times New Roman" w:hAnsi="Times New Roman" w:cs="Times New Roman"/>
                      <w:color w:val="auto"/>
                    </w:rPr>
                    <w:t>/mA·h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0" w:type="dxa"/>
                  <w:noWrap w:val="0"/>
                  <w:vAlign w:val="center"/>
                </w:tcPr>
                <w:p>
                  <w:pPr>
                    <w:pStyle w:val="53"/>
                    <w:rPr>
                      <w:rFonts w:hint="default" w:ascii="Times New Roman" w:hAnsi="Times New Roman" w:cs="Times New Roman"/>
                      <w:b/>
                      <w:color w:val="auto"/>
                    </w:rPr>
                  </w:pPr>
                  <w:r>
                    <w:rPr>
                      <w:rFonts w:hint="default" w:ascii="Times New Roman" w:hAnsi="Times New Roman" w:cs="Times New Roman"/>
                      <w:b/>
                      <w:color w:val="auto"/>
                    </w:rPr>
                    <w:t>漏射剂量率</w:t>
                  </w:r>
                </w:p>
              </w:tc>
              <w:tc>
                <w:tcPr>
                  <w:tcW w:w="4150" w:type="dxa"/>
                  <w:noWrap w:val="0"/>
                  <w:vAlign w:val="center"/>
                </w:tcPr>
                <w:p>
                  <w:pPr>
                    <w:pStyle w:val="53"/>
                    <w:rPr>
                      <w:rFonts w:hint="default" w:ascii="Times New Roman" w:hAnsi="Times New Roman" w:cs="Times New Roman"/>
                      <w:color w:val="auto"/>
                    </w:rPr>
                  </w:pPr>
                  <w:r>
                    <w:rPr>
                      <w:rFonts w:hint="default" w:ascii="Times New Roman" w:hAnsi="Times New Roman" w:cs="Times New Roman"/>
                      <w:color w:val="auto"/>
                    </w:rPr>
                    <w:t>5000μSv/h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0" w:type="dxa"/>
                  <w:noWrap w:val="0"/>
                  <w:vAlign w:val="center"/>
                </w:tcPr>
                <w:p>
                  <w:pPr>
                    <w:pStyle w:val="53"/>
                    <w:rPr>
                      <w:rFonts w:hint="default" w:ascii="Times New Roman" w:hAnsi="Times New Roman" w:cs="Times New Roman"/>
                      <w:b/>
                      <w:color w:val="auto"/>
                    </w:rPr>
                  </w:pPr>
                  <w:r>
                    <w:rPr>
                      <w:rFonts w:hint="default" w:ascii="Times New Roman" w:hAnsi="Times New Roman" w:cs="Times New Roman"/>
                      <w:b/>
                      <w:color w:val="auto"/>
                    </w:rPr>
                    <w:t>滤过条件</w:t>
                  </w:r>
                </w:p>
              </w:tc>
              <w:tc>
                <w:tcPr>
                  <w:tcW w:w="4150" w:type="dxa"/>
                  <w:noWrap w:val="0"/>
                  <w:vAlign w:val="center"/>
                </w:tcPr>
                <w:p>
                  <w:pPr>
                    <w:pStyle w:val="53"/>
                    <w:rPr>
                      <w:rFonts w:hint="default" w:ascii="Times New Roman" w:hAnsi="Times New Roman" w:eastAsia="宋体" w:cs="Times New Roman"/>
                      <w:color w:val="auto"/>
                      <w:u w:val="single"/>
                      <w:lang w:val="en-US" w:eastAsia="zh-CN"/>
                    </w:rPr>
                  </w:pPr>
                  <w:r>
                    <w:rPr>
                      <w:rFonts w:hint="default" w:ascii="Times New Roman" w:hAnsi="Times New Roman" w:cs="Times New Roman"/>
                      <w:color w:val="auto"/>
                    </w:rPr>
                    <w:t>3mm</w:t>
                  </w:r>
                  <w:r>
                    <w:rPr>
                      <w:rFonts w:hint="eastAsia" w:cs="Times New Roman"/>
                      <w:color w:val="auto"/>
                      <w:lang w:val="en-US" w:eastAsia="zh-CN"/>
                    </w:rPr>
                    <w:t>+2mm铍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0" w:type="dxa"/>
                  <w:noWrap w:val="0"/>
                  <w:vAlign w:val="center"/>
                </w:tcPr>
                <w:p>
                  <w:pPr>
                    <w:pStyle w:val="53"/>
                    <w:rPr>
                      <w:rFonts w:hint="default" w:ascii="Times New Roman" w:hAnsi="Times New Roman" w:eastAsia="宋体" w:cs="Times New Roman"/>
                      <w:b/>
                      <w:color w:val="auto"/>
                      <w:lang w:val="en-US" w:eastAsia="zh-CN"/>
                    </w:rPr>
                  </w:pPr>
                  <w:r>
                    <w:rPr>
                      <w:rFonts w:hint="eastAsia" w:cs="Times New Roman"/>
                      <w:b/>
                      <w:color w:val="auto"/>
                      <w:lang w:val="en-US" w:eastAsia="zh-CN"/>
                    </w:rPr>
                    <w:t>辐射角</w:t>
                  </w:r>
                </w:p>
              </w:tc>
              <w:tc>
                <w:tcPr>
                  <w:tcW w:w="4150" w:type="dxa"/>
                  <w:noWrap w:val="0"/>
                  <w:vAlign w:val="center"/>
                </w:tcPr>
                <w:p>
                  <w:pPr>
                    <w:pStyle w:val="53"/>
                    <w:rPr>
                      <w:rFonts w:hint="default" w:ascii="Times New Roman" w:hAnsi="Times New Roman" w:eastAsia="宋体" w:cs="Times New Roman"/>
                      <w:color w:val="auto"/>
                      <w:lang w:val="en-US" w:eastAsia="zh-CN"/>
                    </w:rPr>
                  </w:pPr>
                  <w:r>
                    <w:rPr>
                      <w:rFonts w:hint="eastAsia" w:cs="Times New Roman"/>
                      <w:color w:val="auto"/>
                      <w:lang w:val="en-US" w:eastAsia="zh-CN"/>
                    </w:rPr>
                    <w:t>40</w:t>
                  </w:r>
                  <w:r>
                    <w:rPr>
                      <w:rFonts w:hint="default" w:ascii="Times New Roman" w:hAnsi="Times New Roman" w:cs="Times New Roman"/>
                      <w:color w:val="auto"/>
                    </w:rPr>
                    <w:t>°</w:t>
                  </w:r>
                  <w:r>
                    <w:rPr>
                      <w:rFonts w:hint="eastAsia" w:cs="Times New Roman"/>
                      <w:color w:val="auto"/>
                      <w:lang w:val="en-US" w:eastAsia="zh-CN"/>
                    </w:rPr>
                    <w:t>+30°</w:t>
                  </w:r>
                </w:p>
              </w:tc>
            </w:tr>
          </w:tbl>
          <w:p>
            <w:pPr>
              <w:pStyle w:val="49"/>
              <w:rPr>
                <w:rFonts w:hint="default" w:ascii="Times New Roman" w:hAnsi="Times New Roman" w:cs="Times New Roman"/>
                <w:color w:val="auto"/>
              </w:rPr>
            </w:pPr>
            <w:r>
              <w:rPr>
                <w:rFonts w:hint="default" w:ascii="Times New Roman" w:hAnsi="Times New Roman" w:cs="Times New Roman"/>
                <w:color w:val="auto"/>
              </w:rPr>
              <w:t>表11-2不同场所与环境条件下的居留因子</w:t>
            </w: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0"/>
              <w:gridCol w:w="1701"/>
              <w:gridCol w:w="46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noWrap w:val="0"/>
                  <w:vAlign w:val="top"/>
                </w:tcPr>
                <w:p>
                  <w:pPr>
                    <w:pStyle w:val="53"/>
                    <w:rPr>
                      <w:rFonts w:hint="default" w:ascii="Times New Roman" w:hAnsi="Times New Roman" w:cs="Times New Roman"/>
                      <w:color w:val="auto"/>
                    </w:rPr>
                  </w:pPr>
                  <w:r>
                    <w:rPr>
                      <w:rFonts w:hint="default" w:ascii="Times New Roman" w:hAnsi="Times New Roman" w:cs="Times New Roman"/>
                      <w:color w:val="auto"/>
                    </w:rPr>
                    <w:t>场所</w:t>
                  </w:r>
                </w:p>
              </w:tc>
              <w:tc>
                <w:tcPr>
                  <w:tcW w:w="1701" w:type="dxa"/>
                  <w:noWrap w:val="0"/>
                  <w:vAlign w:val="top"/>
                </w:tcPr>
                <w:p>
                  <w:pPr>
                    <w:pStyle w:val="53"/>
                    <w:rPr>
                      <w:rFonts w:hint="default" w:ascii="Times New Roman" w:hAnsi="Times New Roman" w:cs="Times New Roman"/>
                      <w:color w:val="auto"/>
                    </w:rPr>
                  </w:pPr>
                  <w:r>
                    <w:rPr>
                      <w:rFonts w:hint="default" w:ascii="Times New Roman" w:hAnsi="Times New Roman" w:cs="Times New Roman"/>
                      <w:color w:val="auto"/>
                    </w:rPr>
                    <w:t>居留因子</w:t>
                  </w:r>
                </w:p>
              </w:tc>
              <w:tc>
                <w:tcPr>
                  <w:tcW w:w="4614" w:type="dxa"/>
                  <w:noWrap w:val="0"/>
                  <w:vAlign w:val="top"/>
                </w:tcPr>
                <w:p>
                  <w:pPr>
                    <w:pStyle w:val="53"/>
                    <w:rPr>
                      <w:rFonts w:hint="default" w:ascii="Times New Roman" w:hAnsi="Times New Roman" w:cs="Times New Roman"/>
                      <w:color w:val="auto"/>
                    </w:rPr>
                  </w:pPr>
                  <w:r>
                    <w:rPr>
                      <w:rFonts w:hint="default" w:ascii="Times New Roman" w:hAnsi="Times New Roman" w:cs="Times New Roman"/>
                      <w:color w:val="auto"/>
                    </w:rPr>
                    <w:t>示例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noWrap w:val="0"/>
                  <w:vAlign w:val="top"/>
                </w:tcPr>
                <w:p>
                  <w:pPr>
                    <w:pStyle w:val="53"/>
                    <w:rPr>
                      <w:rFonts w:hint="default" w:ascii="Times New Roman" w:hAnsi="Times New Roman" w:cs="Times New Roman"/>
                      <w:color w:val="auto"/>
                    </w:rPr>
                  </w:pPr>
                  <w:r>
                    <w:rPr>
                      <w:rFonts w:hint="default" w:ascii="Times New Roman" w:hAnsi="Times New Roman" w:cs="Times New Roman"/>
                      <w:color w:val="auto"/>
                    </w:rPr>
                    <w:t>全居留</w:t>
                  </w:r>
                </w:p>
              </w:tc>
              <w:tc>
                <w:tcPr>
                  <w:tcW w:w="1701" w:type="dxa"/>
                  <w:noWrap w:val="0"/>
                  <w:vAlign w:val="top"/>
                </w:tcPr>
                <w:p>
                  <w:pPr>
                    <w:pStyle w:val="53"/>
                    <w:rPr>
                      <w:rFonts w:hint="default" w:ascii="Times New Roman" w:hAnsi="Times New Roman" w:cs="Times New Roman"/>
                      <w:color w:val="auto"/>
                    </w:rPr>
                  </w:pPr>
                  <w:r>
                    <w:rPr>
                      <w:rFonts w:hint="default" w:ascii="Times New Roman" w:hAnsi="Times New Roman" w:cs="Times New Roman"/>
                      <w:color w:val="auto"/>
                    </w:rPr>
                    <w:t>1</w:t>
                  </w:r>
                </w:p>
              </w:tc>
              <w:tc>
                <w:tcPr>
                  <w:tcW w:w="4614" w:type="dxa"/>
                  <w:noWrap w:val="0"/>
                  <w:vAlign w:val="top"/>
                </w:tcPr>
                <w:p>
                  <w:pPr>
                    <w:pStyle w:val="53"/>
                    <w:rPr>
                      <w:rFonts w:hint="default" w:ascii="Times New Roman" w:hAnsi="Times New Roman" w:eastAsia="宋体" w:cs="Times New Roman"/>
                      <w:color w:val="auto"/>
                      <w:lang w:val="en-US" w:eastAsia="zh-CN"/>
                    </w:rPr>
                  </w:pPr>
                  <w:r>
                    <w:rPr>
                      <w:rFonts w:hint="default" w:ascii="Times New Roman" w:hAnsi="Times New Roman" w:cs="Times New Roman"/>
                      <w:color w:val="auto"/>
                    </w:rPr>
                    <w:t>控制室</w:t>
                  </w:r>
                  <w:r>
                    <w:rPr>
                      <w:rFonts w:hint="eastAsia" w:cs="Times New Roman"/>
                      <w:color w:val="auto"/>
                      <w:lang w:val="en-US" w:eastAsia="zh-CN"/>
                    </w:rPr>
                    <w:t>内的操作位</w:t>
                  </w:r>
                  <w:r>
                    <w:rPr>
                      <w:rFonts w:hint="default" w:ascii="Times New Roman" w:hAnsi="Times New Roman" w:cs="Times New Roman"/>
                      <w:color w:val="auto"/>
                    </w:rPr>
                    <w:t>、周边厂房和车间</w:t>
                  </w:r>
                  <w:r>
                    <w:rPr>
                      <w:rFonts w:hint="eastAsia" w:cs="Times New Roman"/>
                      <w:color w:val="auto"/>
                      <w:lang w:val="en-US" w:eastAsia="zh-CN"/>
                    </w:rPr>
                    <w:t>内工位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noWrap w:val="0"/>
                  <w:vAlign w:val="top"/>
                </w:tcPr>
                <w:p>
                  <w:pPr>
                    <w:pStyle w:val="53"/>
                    <w:rPr>
                      <w:rFonts w:hint="default" w:ascii="Times New Roman" w:hAnsi="Times New Roman" w:cs="Times New Roman"/>
                      <w:color w:val="auto"/>
                    </w:rPr>
                  </w:pPr>
                  <w:r>
                    <w:rPr>
                      <w:rFonts w:hint="default" w:ascii="Times New Roman" w:hAnsi="Times New Roman" w:cs="Times New Roman"/>
                      <w:color w:val="auto"/>
                    </w:rPr>
                    <w:t>部分居留</w:t>
                  </w:r>
                </w:p>
              </w:tc>
              <w:tc>
                <w:tcPr>
                  <w:tcW w:w="1701" w:type="dxa"/>
                  <w:noWrap w:val="0"/>
                  <w:vAlign w:val="top"/>
                </w:tcPr>
                <w:p>
                  <w:pPr>
                    <w:pStyle w:val="53"/>
                    <w:rPr>
                      <w:rFonts w:hint="default" w:ascii="Times New Roman" w:hAnsi="Times New Roman" w:cs="Times New Roman"/>
                      <w:color w:val="auto"/>
                    </w:rPr>
                  </w:pPr>
                  <w:r>
                    <w:rPr>
                      <w:rFonts w:hint="default" w:ascii="Times New Roman" w:hAnsi="Times New Roman" w:cs="Times New Roman"/>
                      <w:color w:val="auto"/>
                    </w:rPr>
                    <w:t>1/2~1/5</w:t>
                  </w:r>
                </w:p>
              </w:tc>
              <w:tc>
                <w:tcPr>
                  <w:tcW w:w="4614" w:type="dxa"/>
                  <w:noWrap w:val="0"/>
                  <w:vAlign w:val="top"/>
                </w:tcPr>
                <w:p>
                  <w:pPr>
                    <w:pStyle w:val="53"/>
                    <w:rPr>
                      <w:rFonts w:hint="default" w:ascii="Times New Roman" w:hAnsi="Times New Roman" w:eastAsia="宋体" w:cs="Times New Roman"/>
                      <w:color w:val="auto"/>
                      <w:lang w:val="en-US" w:eastAsia="zh-CN"/>
                    </w:rPr>
                  </w:pPr>
                  <w:r>
                    <w:rPr>
                      <w:rFonts w:hint="eastAsia" w:cs="Times New Roman"/>
                      <w:color w:val="auto"/>
                      <w:lang w:val="en-US" w:eastAsia="zh-CN"/>
                    </w:rPr>
                    <w:t>地磅房等非人员固定工作区域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noWrap w:val="0"/>
                  <w:vAlign w:val="top"/>
                </w:tcPr>
                <w:p>
                  <w:pPr>
                    <w:pStyle w:val="53"/>
                    <w:rPr>
                      <w:rFonts w:hint="default" w:ascii="Times New Roman" w:hAnsi="Times New Roman" w:cs="Times New Roman"/>
                      <w:color w:val="auto"/>
                    </w:rPr>
                  </w:pPr>
                  <w:r>
                    <w:rPr>
                      <w:rFonts w:hint="default" w:ascii="Times New Roman" w:hAnsi="Times New Roman" w:cs="Times New Roman"/>
                      <w:color w:val="auto"/>
                    </w:rPr>
                    <w:t>偶然居留</w:t>
                  </w:r>
                </w:p>
              </w:tc>
              <w:tc>
                <w:tcPr>
                  <w:tcW w:w="1701" w:type="dxa"/>
                  <w:noWrap w:val="0"/>
                  <w:vAlign w:val="top"/>
                </w:tcPr>
                <w:p>
                  <w:pPr>
                    <w:pStyle w:val="53"/>
                    <w:rPr>
                      <w:rFonts w:hint="default" w:ascii="Times New Roman" w:hAnsi="Times New Roman" w:cs="Times New Roman"/>
                      <w:color w:val="auto"/>
                    </w:rPr>
                  </w:pPr>
                  <w:r>
                    <w:rPr>
                      <w:rFonts w:hint="default" w:ascii="Times New Roman" w:hAnsi="Times New Roman" w:cs="Times New Roman"/>
                      <w:color w:val="auto"/>
                    </w:rPr>
                    <w:t>1/8-1/40</w:t>
                  </w:r>
                </w:p>
              </w:tc>
              <w:tc>
                <w:tcPr>
                  <w:tcW w:w="4614" w:type="dxa"/>
                  <w:noWrap w:val="0"/>
                  <w:vAlign w:val="top"/>
                </w:tcPr>
                <w:p>
                  <w:pPr>
                    <w:pStyle w:val="53"/>
                    <w:rPr>
                      <w:rFonts w:hint="default" w:ascii="Times New Roman" w:hAnsi="Times New Roman" w:eastAsia="宋体" w:cs="Times New Roman"/>
                      <w:color w:val="auto"/>
                      <w:lang w:val="en-US" w:eastAsia="zh-CN"/>
                    </w:rPr>
                  </w:pPr>
                  <w:r>
                    <w:rPr>
                      <w:rFonts w:hint="default" w:ascii="Times New Roman" w:hAnsi="Times New Roman" w:cs="Times New Roman"/>
                      <w:color w:val="auto"/>
                    </w:rPr>
                    <w:t>道路</w:t>
                  </w:r>
                  <w:r>
                    <w:rPr>
                      <w:rFonts w:hint="eastAsia" w:cs="Times New Roman"/>
                      <w:color w:val="auto"/>
                      <w:lang w:val="en-US" w:eastAsia="zh-CN"/>
                    </w:rPr>
                    <w:t>和其他周边空地</w:t>
                  </w:r>
                </w:p>
              </w:tc>
            </w:tr>
          </w:tbl>
          <w:p>
            <w:pPr>
              <w:pStyle w:val="47"/>
              <w:ind w:firstLine="420"/>
              <w:rPr>
                <w:rFonts w:hint="default" w:ascii="Times New Roman" w:hAnsi="Times New Roman" w:cs="Times New Roman"/>
                <w:color w:val="auto"/>
                <w:sz w:val="21"/>
              </w:rPr>
            </w:pPr>
            <w:r>
              <w:rPr>
                <w:rFonts w:hint="default" w:ascii="Times New Roman" w:hAnsi="Times New Roman" w:cs="Times New Roman"/>
                <w:color w:val="auto"/>
                <w:sz w:val="21"/>
              </w:rPr>
              <w:t>注：取自NCRP144。</w:t>
            </w:r>
          </w:p>
          <w:p>
            <w:pPr>
              <w:pStyle w:val="49"/>
              <w:rPr>
                <w:rFonts w:hint="default" w:ascii="Times New Roman" w:hAnsi="Times New Roman" w:cs="Times New Roman"/>
                <w:color w:val="auto"/>
              </w:rPr>
            </w:pPr>
            <w:r>
              <w:rPr>
                <w:rFonts w:hint="default" w:ascii="Times New Roman" w:hAnsi="Times New Roman" w:cs="Times New Roman"/>
                <w:color w:val="auto"/>
              </w:rPr>
              <w:t>表11-3 X射线探伤装置工作负荷</w:t>
            </w:r>
          </w:p>
          <w:tbl>
            <w:tblPr>
              <w:tblStyle w:val="23"/>
              <w:tblW w:w="82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6"/>
              <w:gridCol w:w="907"/>
              <w:gridCol w:w="850"/>
              <w:gridCol w:w="1134"/>
              <w:gridCol w:w="1418"/>
              <w:gridCol w:w="1134"/>
              <w:gridCol w:w="16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76" w:type="dxa"/>
                  <w:noWrap w:val="0"/>
                  <w:vAlign w:val="center"/>
                </w:tcPr>
                <w:p>
                  <w:pPr>
                    <w:pStyle w:val="53"/>
                    <w:rPr>
                      <w:rFonts w:hint="default" w:ascii="Times New Roman" w:hAnsi="Times New Roman" w:cs="Times New Roman"/>
                      <w:color w:val="auto"/>
                    </w:rPr>
                  </w:pPr>
                  <w:r>
                    <w:rPr>
                      <w:rFonts w:hint="default" w:ascii="Times New Roman" w:hAnsi="Times New Roman" w:cs="Times New Roman"/>
                      <w:color w:val="auto"/>
                    </w:rPr>
                    <w:t>设备名称</w:t>
                  </w:r>
                </w:p>
              </w:tc>
              <w:tc>
                <w:tcPr>
                  <w:tcW w:w="907" w:type="dxa"/>
                  <w:noWrap w:val="0"/>
                  <w:vAlign w:val="center"/>
                </w:tcPr>
                <w:p>
                  <w:pPr>
                    <w:pStyle w:val="53"/>
                    <w:rPr>
                      <w:rFonts w:hint="default" w:ascii="Times New Roman" w:hAnsi="Times New Roman" w:cs="Times New Roman"/>
                      <w:color w:val="auto"/>
                    </w:rPr>
                  </w:pPr>
                  <w:r>
                    <w:rPr>
                      <w:rFonts w:hint="default" w:ascii="Times New Roman" w:hAnsi="Times New Roman" w:cs="Times New Roman"/>
                      <w:color w:val="auto"/>
                    </w:rPr>
                    <w:t>电压</w:t>
                  </w:r>
                </w:p>
              </w:tc>
              <w:tc>
                <w:tcPr>
                  <w:tcW w:w="850" w:type="dxa"/>
                  <w:noWrap w:val="0"/>
                  <w:vAlign w:val="center"/>
                </w:tcPr>
                <w:p>
                  <w:pPr>
                    <w:pStyle w:val="53"/>
                    <w:rPr>
                      <w:rFonts w:hint="default" w:ascii="Times New Roman" w:hAnsi="Times New Roman" w:cs="Times New Roman"/>
                      <w:color w:val="auto"/>
                    </w:rPr>
                  </w:pPr>
                  <w:r>
                    <w:rPr>
                      <w:rFonts w:hint="default" w:ascii="Times New Roman" w:hAnsi="Times New Roman" w:cs="Times New Roman"/>
                      <w:color w:val="auto"/>
                    </w:rPr>
                    <w:t>电流</w:t>
                  </w:r>
                </w:p>
              </w:tc>
              <w:tc>
                <w:tcPr>
                  <w:tcW w:w="1134" w:type="dxa"/>
                  <w:noWrap w:val="0"/>
                  <w:vAlign w:val="center"/>
                </w:tcPr>
                <w:p>
                  <w:pPr>
                    <w:pStyle w:val="53"/>
                    <w:rPr>
                      <w:rFonts w:hint="default" w:ascii="Times New Roman" w:hAnsi="Times New Roman" w:cs="Times New Roman"/>
                      <w:color w:val="auto"/>
                    </w:rPr>
                  </w:pPr>
                  <w:r>
                    <w:rPr>
                      <w:rFonts w:hint="default" w:ascii="Times New Roman" w:hAnsi="Times New Roman" w:cs="Times New Roman"/>
                      <w:color w:val="auto"/>
                    </w:rPr>
                    <w:t>周平均曝光次数</w:t>
                  </w:r>
                </w:p>
              </w:tc>
              <w:tc>
                <w:tcPr>
                  <w:tcW w:w="1418" w:type="dxa"/>
                  <w:noWrap w:val="0"/>
                  <w:vAlign w:val="center"/>
                </w:tcPr>
                <w:p>
                  <w:pPr>
                    <w:pStyle w:val="53"/>
                    <w:rPr>
                      <w:rFonts w:hint="default" w:ascii="Times New Roman" w:hAnsi="Times New Roman" w:cs="Times New Roman"/>
                      <w:color w:val="auto"/>
                    </w:rPr>
                  </w:pPr>
                  <w:r>
                    <w:rPr>
                      <w:rFonts w:hint="default" w:ascii="Times New Roman" w:hAnsi="Times New Roman" w:cs="Times New Roman"/>
                      <w:color w:val="auto"/>
                    </w:rPr>
                    <w:t>最大单次曝光时间</w:t>
                  </w:r>
                </w:p>
              </w:tc>
              <w:tc>
                <w:tcPr>
                  <w:tcW w:w="1134" w:type="dxa"/>
                  <w:noWrap w:val="0"/>
                  <w:vAlign w:val="center"/>
                </w:tcPr>
                <w:p>
                  <w:pPr>
                    <w:pStyle w:val="53"/>
                    <w:rPr>
                      <w:rFonts w:hint="default" w:ascii="Times New Roman" w:hAnsi="Times New Roman" w:cs="Times New Roman"/>
                      <w:color w:val="auto"/>
                    </w:rPr>
                  </w:pPr>
                  <w:r>
                    <w:rPr>
                      <w:rFonts w:hint="default" w:ascii="Times New Roman" w:hAnsi="Times New Roman" w:cs="Times New Roman"/>
                      <w:color w:val="auto"/>
                    </w:rPr>
                    <w:t>周最大照射时间</w:t>
                  </w:r>
                </w:p>
              </w:tc>
              <w:tc>
                <w:tcPr>
                  <w:tcW w:w="1603" w:type="dxa"/>
                  <w:noWrap w:val="0"/>
                  <w:vAlign w:val="center"/>
                </w:tcPr>
                <w:p>
                  <w:pPr>
                    <w:pStyle w:val="53"/>
                    <w:rPr>
                      <w:rFonts w:hint="default" w:ascii="Times New Roman" w:hAnsi="Times New Roman" w:cs="Times New Roman"/>
                      <w:color w:val="auto"/>
                    </w:rPr>
                  </w:pPr>
                  <w:r>
                    <w:rPr>
                      <w:rFonts w:hint="default" w:ascii="Times New Roman" w:hAnsi="Times New Roman" w:cs="Times New Roman"/>
                      <w:color w:val="auto"/>
                    </w:rPr>
                    <w:t>周工作负荷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76" w:type="dxa"/>
                  <w:noWrap w:val="0"/>
                  <w:vAlign w:val="center"/>
                </w:tcPr>
                <w:p>
                  <w:pPr>
                    <w:pStyle w:val="53"/>
                    <w:rPr>
                      <w:rFonts w:hint="default" w:ascii="Times New Roman" w:hAnsi="Times New Roman" w:cs="Times New Roman"/>
                      <w:color w:val="auto"/>
                    </w:rPr>
                  </w:pPr>
                  <w:r>
                    <w:rPr>
                      <w:rFonts w:hint="default" w:ascii="Times New Roman" w:hAnsi="Times New Roman" w:cs="Times New Roman"/>
                      <w:color w:val="auto"/>
                    </w:rPr>
                    <w:t>X射线机检测系统</w:t>
                  </w:r>
                </w:p>
              </w:tc>
              <w:tc>
                <w:tcPr>
                  <w:tcW w:w="907" w:type="dxa"/>
                  <w:noWrap w:val="0"/>
                  <w:vAlign w:val="center"/>
                </w:tcPr>
                <w:p>
                  <w:pPr>
                    <w:pStyle w:val="53"/>
                    <w:rPr>
                      <w:rFonts w:hint="default" w:ascii="Times New Roman" w:hAnsi="Times New Roman" w:cs="Times New Roman"/>
                      <w:color w:val="auto"/>
                    </w:rPr>
                  </w:pPr>
                  <w:r>
                    <w:rPr>
                      <w:rFonts w:hint="eastAsia" w:cs="Times New Roman"/>
                      <w:color w:val="auto"/>
                      <w:lang w:val="en-US" w:eastAsia="zh-CN"/>
                    </w:rPr>
                    <w:t>450</w:t>
                  </w:r>
                  <w:r>
                    <w:rPr>
                      <w:rFonts w:hint="default" w:ascii="Times New Roman" w:hAnsi="Times New Roman" w:cs="Times New Roman"/>
                      <w:color w:val="auto"/>
                    </w:rPr>
                    <w:t>kV</w:t>
                  </w:r>
                </w:p>
              </w:tc>
              <w:tc>
                <w:tcPr>
                  <w:tcW w:w="850" w:type="dxa"/>
                  <w:noWrap w:val="0"/>
                  <w:vAlign w:val="center"/>
                </w:tcPr>
                <w:p>
                  <w:pPr>
                    <w:pStyle w:val="53"/>
                    <w:rPr>
                      <w:rFonts w:hint="default" w:ascii="Times New Roman" w:hAnsi="Times New Roman" w:cs="Times New Roman"/>
                      <w:color w:val="auto"/>
                    </w:rPr>
                  </w:pPr>
                  <w:r>
                    <w:rPr>
                      <w:rFonts w:hint="default" w:ascii="Times New Roman" w:hAnsi="Times New Roman" w:cs="Times New Roman"/>
                      <w:color w:val="auto"/>
                    </w:rPr>
                    <w:t>3</w:t>
                  </w:r>
                  <w:r>
                    <w:rPr>
                      <w:rFonts w:hint="eastAsia" w:cs="Times New Roman"/>
                      <w:color w:val="auto"/>
                      <w:lang w:val="en-US" w:eastAsia="zh-CN"/>
                    </w:rPr>
                    <w:t>0</w:t>
                  </w:r>
                  <w:r>
                    <w:rPr>
                      <w:rFonts w:hint="default" w:ascii="Times New Roman" w:hAnsi="Times New Roman" w:cs="Times New Roman"/>
                      <w:color w:val="auto"/>
                    </w:rPr>
                    <w:t>mA</w:t>
                  </w:r>
                </w:p>
              </w:tc>
              <w:tc>
                <w:tcPr>
                  <w:tcW w:w="1134" w:type="dxa"/>
                  <w:noWrap w:val="0"/>
                  <w:vAlign w:val="center"/>
                </w:tcPr>
                <w:p>
                  <w:pPr>
                    <w:pStyle w:val="53"/>
                    <w:rPr>
                      <w:rFonts w:hint="default" w:ascii="Times New Roman" w:hAnsi="Times New Roman" w:cs="Times New Roman"/>
                      <w:color w:val="auto"/>
                    </w:rPr>
                  </w:pPr>
                  <w:r>
                    <w:rPr>
                      <w:rFonts w:hint="eastAsia" w:cs="Times New Roman"/>
                      <w:color w:val="auto"/>
                      <w:lang w:val="en-US" w:eastAsia="zh-CN"/>
                    </w:rPr>
                    <w:t>50</w:t>
                  </w:r>
                  <w:r>
                    <w:rPr>
                      <w:rFonts w:hint="default" w:ascii="Times New Roman" w:hAnsi="Times New Roman" w:cs="Times New Roman"/>
                      <w:color w:val="auto"/>
                    </w:rPr>
                    <w:t>次</w:t>
                  </w:r>
                </w:p>
              </w:tc>
              <w:tc>
                <w:tcPr>
                  <w:tcW w:w="1418" w:type="dxa"/>
                  <w:noWrap w:val="0"/>
                  <w:vAlign w:val="center"/>
                </w:tcPr>
                <w:p>
                  <w:pPr>
                    <w:pStyle w:val="53"/>
                    <w:rPr>
                      <w:rFonts w:hint="default" w:ascii="Times New Roman" w:hAnsi="Times New Roman" w:cs="Times New Roman"/>
                      <w:color w:val="auto"/>
                    </w:rPr>
                  </w:pPr>
                  <w:r>
                    <w:rPr>
                      <w:rFonts w:hint="eastAsia" w:cs="Times New Roman"/>
                      <w:color w:val="auto"/>
                      <w:lang w:val="en-US" w:eastAsia="zh-CN"/>
                    </w:rPr>
                    <w:t>2</w:t>
                  </w:r>
                  <w:r>
                    <w:rPr>
                      <w:rFonts w:hint="default" w:ascii="Times New Roman" w:hAnsi="Times New Roman" w:cs="Times New Roman"/>
                      <w:color w:val="auto"/>
                    </w:rPr>
                    <w:t>min</w:t>
                  </w:r>
                </w:p>
              </w:tc>
              <w:tc>
                <w:tcPr>
                  <w:tcW w:w="1134" w:type="dxa"/>
                  <w:noWrap w:val="0"/>
                  <w:vAlign w:val="center"/>
                </w:tcPr>
                <w:p>
                  <w:pPr>
                    <w:pStyle w:val="53"/>
                    <w:rPr>
                      <w:rFonts w:hint="default" w:ascii="Times New Roman" w:hAnsi="Times New Roman" w:cs="Times New Roman"/>
                      <w:color w:val="auto"/>
                    </w:rPr>
                  </w:pPr>
                  <w:r>
                    <w:rPr>
                      <w:rFonts w:hint="eastAsia" w:cs="Times New Roman"/>
                      <w:color w:val="auto"/>
                      <w:lang w:val="en-US" w:eastAsia="zh-CN"/>
                    </w:rPr>
                    <w:t>1.67</w:t>
                  </w:r>
                  <w:r>
                    <w:rPr>
                      <w:rFonts w:hint="default" w:ascii="Times New Roman" w:hAnsi="Times New Roman" w:cs="Times New Roman"/>
                      <w:color w:val="auto"/>
                    </w:rPr>
                    <w:t>h</w:t>
                  </w:r>
                </w:p>
              </w:tc>
              <w:tc>
                <w:tcPr>
                  <w:tcW w:w="1603" w:type="dxa"/>
                  <w:noWrap w:val="0"/>
                  <w:vAlign w:val="center"/>
                </w:tcPr>
                <w:p>
                  <w:pPr>
                    <w:pStyle w:val="53"/>
                    <w:rPr>
                      <w:rFonts w:hint="default" w:ascii="Times New Roman" w:hAnsi="Times New Roman" w:cs="Times New Roman"/>
                      <w:color w:val="auto"/>
                    </w:rPr>
                  </w:pPr>
                  <w:r>
                    <w:rPr>
                      <w:rFonts w:hint="eastAsia" w:cs="Times New Roman"/>
                      <w:color w:val="auto"/>
                      <w:lang w:val="en-US" w:eastAsia="zh-CN"/>
                    </w:rPr>
                    <w:t>3000</w:t>
                  </w:r>
                  <w:r>
                    <w:rPr>
                      <w:rFonts w:hint="default" w:ascii="Times New Roman" w:hAnsi="Times New Roman" w:cs="Times New Roman"/>
                      <w:color w:val="auto"/>
                    </w:rPr>
                    <w:t>mA·min</w:t>
                  </w:r>
                </w:p>
              </w:tc>
            </w:tr>
          </w:tbl>
          <w:p>
            <w:pPr>
              <w:pStyle w:val="42"/>
              <w:rPr>
                <w:rFonts w:hint="default" w:ascii="Times New Roman" w:hAnsi="Times New Roman" w:cs="Times New Roman"/>
                <w:bCs/>
                <w:color w:val="auto"/>
              </w:rPr>
            </w:pPr>
            <w:r>
              <w:rPr>
                <w:rFonts w:hint="default" w:ascii="Times New Roman" w:hAnsi="Times New Roman" w:cs="Times New Roman"/>
                <w:color w:val="auto"/>
              </w:rPr>
              <w:t>11.2.2</w:t>
            </w:r>
            <w:r>
              <w:rPr>
                <w:rFonts w:hint="default" w:ascii="Times New Roman" w:hAnsi="Times New Roman" w:cs="Times New Roman"/>
                <w:bCs/>
                <w:color w:val="auto"/>
              </w:rPr>
              <w:t>计算公式</w:t>
            </w:r>
          </w:p>
          <w:p>
            <w:pPr>
              <w:pStyle w:val="47"/>
              <w:rPr>
                <w:rFonts w:hint="default" w:ascii="Times New Roman" w:hAnsi="Times New Roman" w:cs="Times New Roman"/>
                <w:color w:val="auto"/>
                <w:kern w:val="0"/>
              </w:rPr>
            </w:pPr>
            <w:r>
              <w:rPr>
                <w:rFonts w:hint="default" w:ascii="Times New Roman" w:hAnsi="Times New Roman" w:cs="Times New Roman"/>
                <w:color w:val="auto"/>
                <w:kern w:val="0"/>
              </w:rPr>
              <w:t>本次计算公式参照《工业X射线探伤放射防护要求》（GBZ117-2015）中对探伤项目的计算公式。</w:t>
            </w:r>
          </w:p>
          <w:p>
            <w:pPr>
              <w:pStyle w:val="42"/>
              <w:rPr>
                <w:rFonts w:hint="default" w:ascii="Times New Roman" w:hAnsi="Times New Roman" w:cs="Times New Roman"/>
                <w:color w:val="auto"/>
              </w:rPr>
            </w:pPr>
            <w:r>
              <w:rPr>
                <w:rFonts w:hint="default" w:ascii="Times New Roman" w:hAnsi="Times New Roman" w:cs="Times New Roman"/>
                <w:color w:val="auto"/>
              </w:rPr>
              <w:t>1）有用线束</w:t>
            </w:r>
          </w:p>
          <w:p>
            <w:pPr>
              <w:pStyle w:val="47"/>
              <w:rPr>
                <w:rFonts w:hint="default" w:ascii="Times New Roman" w:hAnsi="Times New Roman" w:cs="Times New Roman"/>
                <w:b/>
                <w:color w:val="auto"/>
                <w:kern w:val="0"/>
              </w:rPr>
            </w:pPr>
            <w:r>
              <w:rPr>
                <w:rFonts w:hint="default" w:ascii="Times New Roman" w:hAnsi="Times New Roman" w:cs="Times New Roman"/>
                <w:color w:val="auto"/>
                <w:kern w:val="0"/>
              </w:rPr>
              <w:t>a）关注点达到剂量率参考控制水平</w:t>
            </w:r>
            <m:oMath>
              <m:sSub>
                <m:sSubPr>
                  <m:ctrlPr>
                    <w:rPr>
                      <w:rFonts w:hint="default" w:ascii="Cambria Math" w:hAnsi="Cambria Math" w:cs="Times New Roman"/>
                      <w:color w:val="auto"/>
                    </w:rPr>
                  </m:ctrlPr>
                </m:sSubPr>
                <m:e>
                  <m:acc>
                    <m:accPr>
                      <m:chr m:val="̇"/>
                      <m:ctrlPr>
                        <w:rPr>
                          <w:rFonts w:hint="default" w:ascii="Cambria Math" w:hAnsi="Cambria Math" w:cs="Times New Roman"/>
                          <w:color w:val="auto"/>
                        </w:rPr>
                      </m:ctrlPr>
                    </m:accPr>
                    <m:e>
                      <m:r>
                        <m:rPr/>
                        <w:rPr>
                          <w:rFonts w:hint="default" w:ascii="Cambria Math" w:hAnsi="Cambria Math" w:cs="Times New Roman"/>
                          <w:color w:val="auto"/>
                        </w:rPr>
                        <m:t>H</m:t>
                      </m:r>
                      <m:ctrlPr>
                        <w:rPr>
                          <w:rFonts w:hint="default" w:ascii="Cambria Math" w:hAnsi="Cambria Math" w:cs="Times New Roman"/>
                          <w:color w:val="auto"/>
                        </w:rPr>
                      </m:ctrlPr>
                    </m:e>
                  </m:acc>
                  <m:ctrlPr>
                    <w:rPr>
                      <w:rFonts w:hint="default" w:ascii="Cambria Math" w:hAnsi="Cambria Math" w:cs="Times New Roman"/>
                      <w:color w:val="auto"/>
                    </w:rPr>
                  </m:ctrlPr>
                </m:e>
                <m:sub>
                  <m:r>
                    <m:rPr/>
                    <w:rPr>
                      <w:rFonts w:hint="default" w:ascii="Cambria Math" w:hAnsi="Cambria Math" w:cs="Times New Roman"/>
                      <w:color w:val="auto"/>
                    </w:rPr>
                    <m:t>c</m:t>
                  </m:r>
                  <m:ctrlPr>
                    <w:rPr>
                      <w:rFonts w:hint="default" w:ascii="Cambria Math" w:hAnsi="Cambria Math" w:cs="Times New Roman"/>
                      <w:color w:val="auto"/>
                    </w:rPr>
                  </m:ctrlPr>
                </m:sub>
              </m:sSub>
            </m:oMath>
            <w:r>
              <w:rPr>
                <w:rFonts w:hint="default" w:ascii="Times New Roman" w:hAnsi="Times New Roman" w:cs="Times New Roman"/>
                <w:color w:val="auto"/>
                <w:kern w:val="0"/>
              </w:rPr>
              <w:t>时，屏蔽设计所需的屏蔽透射因子B按式11-1计算，然后按X射线在铅和混凝土中的透射曲线图查到所需的厚度。</w:t>
            </w:r>
          </w:p>
          <w:p>
            <w:pPr>
              <w:pStyle w:val="42"/>
              <w:spacing w:before="312" w:beforeLines="100" w:after="312" w:afterLines="100"/>
              <w:ind w:firstLine="480"/>
              <w:rPr>
                <w:rFonts w:hint="default" w:ascii="Times New Roman" w:hAnsi="Times New Roman" w:cs="Times New Roman"/>
                <w:b w:val="0"/>
                <w:color w:val="auto"/>
                <w:kern w:val="0"/>
              </w:rPr>
            </w:pPr>
            <w:r>
              <w:rPr>
                <w:rFonts w:hint="default" w:ascii="Times New Roman" w:hAnsi="Times New Roman" w:cs="Times New Roman"/>
                <w:b/>
                <w:color w:val="auto"/>
                <w:kern w:val="0"/>
              </w:rPr>
              <w:drawing>
                <wp:anchor distT="0" distB="0" distL="114300" distR="114300" simplePos="0" relativeHeight="251659264" behindDoc="0" locked="0" layoutInCell="1" allowOverlap="1">
                  <wp:simplePos x="0" y="0"/>
                  <wp:positionH relativeFrom="column">
                    <wp:posOffset>1600200</wp:posOffset>
                  </wp:positionH>
                  <wp:positionV relativeFrom="paragraph">
                    <wp:posOffset>12700</wp:posOffset>
                  </wp:positionV>
                  <wp:extent cx="981075" cy="600075"/>
                  <wp:effectExtent l="0" t="0" r="9525" b="9525"/>
                  <wp:wrapNone/>
                  <wp:docPr id="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0"/>
                          <pic:cNvPicPr>
                            <a:picLocks noChangeAspect="1"/>
                          </pic:cNvPicPr>
                        </pic:nvPicPr>
                        <pic:blipFill>
                          <a:blip r:embed="rId13"/>
                          <a:stretch>
                            <a:fillRect/>
                          </a:stretch>
                        </pic:blipFill>
                        <pic:spPr>
                          <a:xfrm>
                            <a:off x="0" y="0"/>
                            <a:ext cx="981075" cy="600075"/>
                          </a:xfrm>
                          <a:prstGeom prst="rect">
                            <a:avLst/>
                          </a:prstGeom>
                          <a:noFill/>
                          <a:ln>
                            <a:noFill/>
                          </a:ln>
                        </pic:spPr>
                      </pic:pic>
                    </a:graphicData>
                  </a:graphic>
                </wp:anchor>
              </w:drawing>
            </w:r>
            <w:r>
              <w:rPr>
                <w:rFonts w:hint="default" w:ascii="Times New Roman" w:hAnsi="Times New Roman" w:cs="Times New Roman"/>
                <w:b w:val="0"/>
                <w:color w:val="auto"/>
                <w:kern w:val="0"/>
              </w:rPr>
              <w:tab/>
            </w:r>
            <w:r>
              <w:rPr>
                <w:rFonts w:hint="default" w:ascii="Times New Roman" w:hAnsi="Times New Roman" w:cs="Times New Roman"/>
                <w:b w:val="0"/>
                <w:color w:val="auto"/>
                <w:kern w:val="0"/>
              </w:rPr>
              <w:tab/>
            </w:r>
            <w:r>
              <w:rPr>
                <w:rFonts w:hint="default" w:ascii="Times New Roman" w:hAnsi="Times New Roman" w:cs="Times New Roman"/>
                <w:b w:val="0"/>
                <w:color w:val="auto"/>
                <w:kern w:val="0"/>
              </w:rPr>
              <w:tab/>
            </w:r>
            <w:r>
              <w:rPr>
                <w:rFonts w:hint="default" w:ascii="Times New Roman" w:hAnsi="Times New Roman" w:cs="Times New Roman"/>
                <w:b w:val="0"/>
                <w:color w:val="auto"/>
                <w:kern w:val="0"/>
              </w:rPr>
              <w:tab/>
            </w:r>
            <w:r>
              <w:rPr>
                <w:rFonts w:hint="default" w:ascii="Times New Roman" w:hAnsi="Times New Roman" w:cs="Times New Roman"/>
                <w:b w:val="0"/>
                <w:color w:val="auto"/>
                <w:kern w:val="0"/>
              </w:rPr>
              <w:tab/>
            </w:r>
            <w:r>
              <w:rPr>
                <w:rFonts w:hint="default" w:ascii="Times New Roman" w:hAnsi="Times New Roman" w:cs="Times New Roman"/>
                <w:b w:val="0"/>
                <w:color w:val="auto"/>
                <w:kern w:val="0"/>
              </w:rPr>
              <w:tab/>
            </w:r>
            <w:r>
              <w:rPr>
                <w:rFonts w:hint="default" w:ascii="Times New Roman" w:hAnsi="Times New Roman" w:cs="Times New Roman"/>
                <w:b w:val="0"/>
                <w:color w:val="auto"/>
                <w:kern w:val="0"/>
              </w:rPr>
              <w:tab/>
            </w:r>
            <w:r>
              <w:rPr>
                <w:rFonts w:hint="default" w:ascii="Times New Roman" w:hAnsi="Times New Roman" w:cs="Times New Roman"/>
                <w:b w:val="0"/>
                <w:color w:val="auto"/>
                <w:kern w:val="0"/>
              </w:rPr>
              <w:tab/>
            </w:r>
            <w:r>
              <w:rPr>
                <w:rFonts w:hint="default" w:ascii="Times New Roman" w:hAnsi="Times New Roman" w:cs="Times New Roman"/>
                <w:b w:val="0"/>
                <w:color w:val="auto"/>
                <w:kern w:val="0"/>
              </w:rPr>
              <w:tab/>
            </w:r>
            <w:r>
              <w:rPr>
                <w:rFonts w:hint="default" w:ascii="Times New Roman" w:hAnsi="Times New Roman" w:cs="Times New Roman"/>
                <w:b w:val="0"/>
                <w:color w:val="auto"/>
                <w:kern w:val="0"/>
              </w:rPr>
              <w:t xml:space="preserve">                                   ………（11-1）</w:t>
            </w:r>
          </w:p>
          <w:p>
            <w:pPr>
              <w:pStyle w:val="47"/>
              <w:rPr>
                <w:rFonts w:hint="default" w:ascii="Times New Roman" w:hAnsi="Times New Roman" w:cs="Times New Roman"/>
                <w:color w:val="auto"/>
              </w:rPr>
            </w:pPr>
            <w:r>
              <w:rPr>
                <w:rFonts w:hint="default" w:ascii="Times New Roman" w:hAnsi="Times New Roman" w:cs="Times New Roman"/>
                <w:color w:val="auto"/>
              </w:rPr>
              <w:t>式中：</w:t>
            </w:r>
            <w:r>
              <w:rPr>
                <w:rFonts w:hint="default" w:ascii="Times New Roman" w:hAnsi="Times New Roman" w:cs="Times New Roman"/>
                <w:color w:val="auto"/>
              </w:rPr>
              <w:tab/>
            </w:r>
            <m:oMath>
              <m:sSub>
                <m:sSubPr>
                  <m:ctrlPr>
                    <w:rPr>
                      <w:rFonts w:hint="default" w:ascii="Cambria Math" w:hAnsi="Cambria Math" w:cs="Times New Roman"/>
                      <w:color w:val="auto"/>
                    </w:rPr>
                  </m:ctrlPr>
                </m:sSubPr>
                <m:e>
                  <m:acc>
                    <m:accPr>
                      <m:chr m:val="̇"/>
                      <m:ctrlPr>
                        <w:rPr>
                          <w:rFonts w:hint="default" w:ascii="Cambria Math" w:hAnsi="Cambria Math" w:cs="Times New Roman"/>
                          <w:color w:val="auto"/>
                        </w:rPr>
                      </m:ctrlPr>
                    </m:accPr>
                    <m:e>
                      <m:r>
                        <m:rPr/>
                        <w:rPr>
                          <w:rFonts w:hint="default" w:ascii="Cambria Math" w:hAnsi="Cambria Math" w:cs="Times New Roman"/>
                          <w:color w:val="auto"/>
                        </w:rPr>
                        <m:t>H</m:t>
                      </m:r>
                      <m:ctrlPr>
                        <w:rPr>
                          <w:rFonts w:hint="default" w:ascii="Cambria Math" w:hAnsi="Cambria Math" w:cs="Times New Roman"/>
                          <w:color w:val="auto"/>
                        </w:rPr>
                      </m:ctrlPr>
                    </m:e>
                  </m:acc>
                  <m:ctrlPr>
                    <w:rPr>
                      <w:rFonts w:hint="default" w:ascii="Cambria Math" w:hAnsi="Cambria Math" w:cs="Times New Roman"/>
                      <w:color w:val="auto"/>
                    </w:rPr>
                  </m:ctrlPr>
                </m:e>
                <m:sub>
                  <m:r>
                    <m:rPr/>
                    <w:rPr>
                      <w:rFonts w:hint="default" w:ascii="Cambria Math" w:hAnsi="Cambria Math" w:cs="Times New Roman"/>
                      <w:color w:val="auto"/>
                    </w:rPr>
                    <m:t>c</m:t>
                  </m:r>
                  <m:ctrlPr>
                    <w:rPr>
                      <w:rFonts w:hint="default" w:ascii="Cambria Math" w:hAnsi="Cambria Math" w:cs="Times New Roman"/>
                      <w:color w:val="auto"/>
                    </w:rPr>
                  </m:ctrlPr>
                </m:sub>
              </m:sSub>
            </m:oMath>
            <w:r>
              <w:rPr>
                <w:rFonts w:hint="default" w:ascii="Times New Roman" w:hAnsi="Times New Roman" w:cs="Times New Roman"/>
                <w:color w:val="auto"/>
              </w:rPr>
              <w:t>——按（1）式确定的剂量率参考控制水平，单位为微希每小时（μSv/h）本环评均取2.5μSv/h；</w:t>
            </w:r>
          </w:p>
          <w:p>
            <w:pPr>
              <w:pStyle w:val="47"/>
              <w:rPr>
                <w:rFonts w:hint="default" w:ascii="Times New Roman" w:hAnsi="Times New Roman" w:cs="Times New Roman"/>
                <w:color w:val="auto"/>
              </w:rPr>
            </w:pPr>
            <w:r>
              <w:rPr>
                <w:rFonts w:hint="default" w:ascii="Times New Roman" w:hAnsi="Times New Roman" w:cs="Times New Roman"/>
                <w:color w:val="auto"/>
              </w:rPr>
              <w:tab/>
            </w:r>
            <w:r>
              <w:rPr>
                <w:rFonts w:hint="default" w:ascii="Times New Roman" w:hAnsi="Times New Roman" w:cs="Times New Roman"/>
                <w:color w:val="auto"/>
              </w:rPr>
              <w:tab/>
            </w:r>
            <m:oMath>
              <m:r>
                <m:rPr/>
                <w:rPr>
                  <w:rFonts w:hint="default" w:ascii="Cambria Math" w:hAnsi="Cambria Math" w:cs="Times New Roman"/>
                  <w:color w:val="auto"/>
                </w:rPr>
                <m:t>R</m:t>
              </m:r>
            </m:oMath>
            <w:r>
              <w:rPr>
                <w:rFonts w:hint="default" w:ascii="Times New Roman" w:hAnsi="Times New Roman" w:cs="Times New Roman"/>
                <w:color w:val="auto"/>
              </w:rPr>
              <w:t>——辐射源点（靶点）至关注点的距离，单位为米（m）；</w:t>
            </w:r>
          </w:p>
          <w:p>
            <w:pPr>
              <w:pStyle w:val="47"/>
              <w:rPr>
                <w:rFonts w:hint="default" w:ascii="Times New Roman" w:hAnsi="Times New Roman" w:cs="Times New Roman"/>
                <w:color w:val="auto"/>
              </w:rPr>
            </w:pPr>
            <w:r>
              <w:rPr>
                <w:rFonts w:hint="default" w:ascii="Times New Roman" w:hAnsi="Times New Roman" w:cs="Times New Roman"/>
                <w:color w:val="auto"/>
              </w:rPr>
              <w:tab/>
            </w:r>
            <w:r>
              <w:rPr>
                <w:rFonts w:hint="default" w:ascii="Times New Roman" w:hAnsi="Times New Roman" w:cs="Times New Roman"/>
                <w:color w:val="auto"/>
              </w:rPr>
              <w:tab/>
            </w:r>
            <m:oMath>
              <m:r>
                <m:rPr/>
                <w:rPr>
                  <w:rFonts w:hint="default" w:ascii="Cambria Math" w:hAnsi="Cambria Math" w:cs="Times New Roman"/>
                  <w:color w:val="auto"/>
                </w:rPr>
                <m:t>I</m:t>
              </m:r>
            </m:oMath>
            <w:r>
              <w:rPr>
                <w:rFonts w:hint="default" w:ascii="Times New Roman" w:hAnsi="Times New Roman" w:cs="Times New Roman"/>
                <w:color w:val="auto"/>
              </w:rPr>
              <w:t>——X射线探伤装置在最高管电压下的常用最大管电流，单位为毫安（mA）；</w:t>
            </w:r>
          </w:p>
          <w:p>
            <w:pPr>
              <w:pStyle w:val="47"/>
              <w:rPr>
                <w:rFonts w:hint="default" w:ascii="Times New Roman" w:hAnsi="Times New Roman" w:cs="Times New Roman"/>
                <w:color w:val="auto"/>
              </w:rPr>
            </w:pPr>
            <w:r>
              <w:rPr>
                <w:rFonts w:hint="default" w:ascii="Times New Roman" w:hAnsi="Times New Roman" w:cs="Times New Roman"/>
                <w:color w:val="auto"/>
              </w:rPr>
              <w:tab/>
            </w:r>
            <w:r>
              <w:rPr>
                <w:rFonts w:hint="default" w:ascii="Times New Roman" w:hAnsi="Times New Roman" w:cs="Times New Roman"/>
                <w:color w:val="auto"/>
              </w:rPr>
              <w:tab/>
            </w:r>
            <m:oMath>
              <m:sSub>
                <m:sSubPr>
                  <m:ctrlPr>
                    <w:rPr>
                      <w:rFonts w:hint="default" w:ascii="Cambria Math" w:hAnsi="Cambria Math" w:cs="Times New Roman"/>
                      <w:color w:val="auto"/>
                    </w:rPr>
                  </m:ctrlPr>
                </m:sSubPr>
                <m:e>
                  <m:r>
                    <m:rPr/>
                    <w:rPr>
                      <w:rFonts w:hint="default" w:ascii="Cambria Math" w:hAnsi="Cambria Math" w:cs="Times New Roman"/>
                      <w:color w:val="auto"/>
                    </w:rPr>
                    <m:t>H</m:t>
                  </m:r>
                  <m:ctrlPr>
                    <w:rPr>
                      <w:rFonts w:hint="default" w:ascii="Cambria Math" w:hAnsi="Cambria Math" w:cs="Times New Roman"/>
                      <w:color w:val="auto"/>
                    </w:rPr>
                  </m:ctrlPr>
                </m:e>
                <m:sub>
                  <m:r>
                    <m:rPr>
                      <m:sty m:val="p"/>
                    </m:rPr>
                    <w:rPr>
                      <w:rFonts w:hint="default" w:ascii="Cambria Math" w:hAnsi="Cambria Math" w:cs="Times New Roman"/>
                      <w:color w:val="auto"/>
                    </w:rPr>
                    <m:t>0</m:t>
                  </m:r>
                  <m:ctrlPr>
                    <w:rPr>
                      <w:rFonts w:hint="default" w:ascii="Cambria Math" w:hAnsi="Cambria Math" w:cs="Times New Roman"/>
                      <w:color w:val="auto"/>
                    </w:rPr>
                  </m:ctrlPr>
                </m:sub>
              </m:sSub>
            </m:oMath>
            <w:r>
              <w:rPr>
                <w:rFonts w:hint="default" w:ascii="Times New Roman" w:hAnsi="Times New Roman" w:cs="Times New Roman"/>
                <w:color w:val="auto"/>
              </w:rPr>
              <w:t>——探距辐射源点（靶点）1m处输出量，μSv·m</w:t>
            </w:r>
            <w:r>
              <w:rPr>
                <w:rFonts w:hint="default" w:ascii="Times New Roman" w:hAnsi="Times New Roman" w:cs="Times New Roman"/>
                <w:color w:val="auto"/>
                <w:vertAlign w:val="superscript"/>
              </w:rPr>
              <w:t>2</w:t>
            </w:r>
            <w:r>
              <w:rPr>
                <w:rFonts w:hint="default" w:ascii="Times New Roman" w:hAnsi="Times New Roman" w:cs="Times New Roman"/>
                <w:color w:val="auto"/>
              </w:rPr>
              <w:t>/(mA·h)，以mSv·m</w:t>
            </w:r>
            <w:r>
              <w:rPr>
                <w:rFonts w:hint="default" w:ascii="Times New Roman" w:hAnsi="Times New Roman" w:cs="Times New Roman"/>
                <w:color w:val="auto"/>
                <w:vertAlign w:val="superscript"/>
              </w:rPr>
              <w:t>2</w:t>
            </w:r>
            <w:r>
              <w:rPr>
                <w:rFonts w:hint="default" w:ascii="Times New Roman" w:hAnsi="Times New Roman" w:cs="Times New Roman"/>
                <w:color w:val="auto"/>
              </w:rPr>
              <w:t>/(mA·min)为单位的值乘以6×10</w:t>
            </w:r>
            <w:r>
              <w:rPr>
                <w:rFonts w:hint="default" w:ascii="Times New Roman" w:hAnsi="Times New Roman" w:cs="Times New Roman"/>
                <w:color w:val="auto"/>
                <w:vertAlign w:val="superscript"/>
              </w:rPr>
              <w:t>4</w:t>
            </w:r>
            <w:r>
              <w:rPr>
                <w:rFonts w:hint="default" w:ascii="Times New Roman" w:hAnsi="Times New Roman" w:cs="Times New Roman"/>
                <w:color w:val="auto"/>
              </w:rPr>
              <w:t>。</w:t>
            </w:r>
          </w:p>
          <w:p>
            <w:pPr>
              <w:pStyle w:val="47"/>
              <w:rPr>
                <w:rFonts w:hint="default" w:ascii="Times New Roman" w:hAnsi="Times New Roman" w:cs="Times New Roman"/>
                <w:color w:val="auto"/>
              </w:rPr>
            </w:pPr>
            <w:r>
              <w:rPr>
                <w:rFonts w:hint="default" w:ascii="Times New Roman" w:hAnsi="Times New Roman" w:cs="Times New Roman"/>
                <w:color w:val="auto"/>
                <w:kern w:val="0"/>
              </w:rPr>
              <w:t>b）在给定屏蔽物质厚度X时，由铅和混凝土中的透射曲线图中得到相应的屏蔽透射因子B。关注点的剂量率</w:t>
            </w:r>
            <m:oMath>
              <m:acc>
                <m:accPr>
                  <m:chr m:val="̇"/>
                  <m:ctrlPr>
                    <w:rPr>
                      <w:rFonts w:hint="default" w:ascii="Cambria Math" w:hAnsi="Cambria Math" w:cs="Times New Roman"/>
                      <w:i/>
                      <w:color w:val="auto"/>
                    </w:rPr>
                  </m:ctrlPr>
                </m:accPr>
                <m:e>
                  <m:r>
                    <m:rPr/>
                    <w:rPr>
                      <w:rFonts w:hint="default" w:ascii="Cambria Math" w:hAnsi="Cambria Math" w:cs="Times New Roman"/>
                      <w:color w:val="auto"/>
                    </w:rPr>
                    <m:t>H</m:t>
                  </m:r>
                  <m:ctrlPr>
                    <w:rPr>
                      <w:rFonts w:hint="default" w:ascii="Cambria Math" w:hAnsi="Cambria Math" w:cs="Times New Roman"/>
                      <w:i/>
                      <w:color w:val="auto"/>
                    </w:rPr>
                  </m:ctrlPr>
                </m:e>
              </m:acc>
              <m:d>
                <m:dPr>
                  <m:ctrlPr>
                    <w:rPr>
                      <w:rFonts w:hint="default" w:ascii="Cambria Math" w:hAnsi="Cambria Math" w:cs="Times New Roman"/>
                      <w:i/>
                      <w:color w:val="auto"/>
                    </w:rPr>
                  </m:ctrlPr>
                </m:dPr>
                <m:e>
                  <m:r>
                    <m:rPr/>
                    <w:rPr>
                      <w:rFonts w:hint="default" w:ascii="Cambria Math" w:hAnsi="Cambria Math" w:cs="Times New Roman"/>
                      <w:color w:val="auto"/>
                    </w:rPr>
                    <m:t>μSv/ℎ</m:t>
                  </m:r>
                  <m:ctrlPr>
                    <w:rPr>
                      <w:rFonts w:hint="default" w:ascii="Cambria Math" w:hAnsi="Cambria Math" w:cs="Times New Roman"/>
                      <w:i/>
                      <w:color w:val="auto"/>
                    </w:rPr>
                  </m:ctrlPr>
                </m:e>
              </m:d>
            </m:oMath>
            <w:r>
              <w:rPr>
                <w:rFonts w:hint="default" w:ascii="Times New Roman" w:hAnsi="Times New Roman" w:cs="Times New Roman"/>
                <w:color w:val="auto"/>
              </w:rPr>
              <w:t>按式11-2计算：</w:t>
            </w:r>
          </w:p>
          <w:p>
            <w:pPr>
              <w:pStyle w:val="47"/>
              <w:spacing w:before="312" w:beforeLines="100" w:after="312" w:afterLines="100"/>
              <w:rPr>
                <w:rFonts w:hint="default" w:ascii="Times New Roman" w:hAnsi="Times New Roman" w:cs="Times New Roman"/>
                <w:color w:val="auto"/>
              </w:rPr>
            </w:pPr>
            <w:r>
              <w:rPr>
                <w:rFonts w:hint="default" w:ascii="Times New Roman" w:hAnsi="Times New Roman" w:cs="Times New Roman"/>
                <w:color w:val="auto"/>
              </w:rPr>
              <w:drawing>
                <wp:anchor distT="0" distB="0" distL="114300" distR="114300" simplePos="0" relativeHeight="251660288" behindDoc="0" locked="0" layoutInCell="1" allowOverlap="1">
                  <wp:simplePos x="0" y="0"/>
                  <wp:positionH relativeFrom="column">
                    <wp:posOffset>1847850</wp:posOffset>
                  </wp:positionH>
                  <wp:positionV relativeFrom="paragraph">
                    <wp:posOffset>126365</wp:posOffset>
                  </wp:positionV>
                  <wp:extent cx="1057275" cy="428625"/>
                  <wp:effectExtent l="0" t="0" r="9525" b="9525"/>
                  <wp:wrapNone/>
                  <wp:docPr id="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3"/>
                          <pic:cNvPicPr>
                            <a:picLocks noChangeAspect="1"/>
                          </pic:cNvPicPr>
                        </pic:nvPicPr>
                        <pic:blipFill>
                          <a:blip r:embed="rId14"/>
                          <a:stretch>
                            <a:fillRect/>
                          </a:stretch>
                        </pic:blipFill>
                        <pic:spPr>
                          <a:xfrm>
                            <a:off x="0" y="0"/>
                            <a:ext cx="1057275" cy="428625"/>
                          </a:xfrm>
                          <a:prstGeom prst="rect">
                            <a:avLst/>
                          </a:prstGeom>
                          <a:noFill/>
                          <a:ln>
                            <a:noFill/>
                          </a:ln>
                        </pic:spPr>
                      </pic:pic>
                    </a:graphicData>
                  </a:graphic>
                </wp:anchor>
              </w:drawing>
            </w:r>
            <w:r>
              <w:rPr>
                <w:rFonts w:hint="default" w:ascii="Times New Roman" w:hAnsi="Times New Roman" w:cs="Times New Roman"/>
                <w:color w:val="auto"/>
              </w:rPr>
              <w:tab/>
            </w:r>
            <w:r>
              <w:rPr>
                <w:rFonts w:hint="default" w:ascii="Times New Roman" w:hAnsi="Times New Roman" w:cs="Times New Roman"/>
                <w:color w:val="auto"/>
              </w:rPr>
              <w:tab/>
            </w:r>
            <w:r>
              <w:rPr>
                <w:rFonts w:hint="default" w:ascii="Times New Roman" w:hAnsi="Times New Roman" w:cs="Times New Roman"/>
                <w:color w:val="auto"/>
              </w:rPr>
              <w:tab/>
            </w:r>
            <w:r>
              <w:rPr>
                <w:rFonts w:hint="default" w:ascii="Times New Roman" w:hAnsi="Times New Roman" w:cs="Times New Roman"/>
                <w:color w:val="auto"/>
              </w:rPr>
              <w:tab/>
            </w:r>
            <w:r>
              <w:rPr>
                <w:rFonts w:hint="default" w:ascii="Times New Roman" w:hAnsi="Times New Roman" w:cs="Times New Roman"/>
                <w:color w:val="auto"/>
              </w:rPr>
              <w:tab/>
            </w:r>
            <w:r>
              <w:rPr>
                <w:rFonts w:hint="default" w:ascii="Times New Roman" w:hAnsi="Times New Roman" w:cs="Times New Roman"/>
                <w:color w:val="auto"/>
              </w:rPr>
              <w:tab/>
            </w:r>
            <w:r>
              <w:rPr>
                <w:rFonts w:hint="default" w:ascii="Times New Roman" w:hAnsi="Times New Roman" w:cs="Times New Roman"/>
                <w:color w:val="auto"/>
              </w:rPr>
              <w:tab/>
            </w:r>
            <w:r>
              <w:rPr>
                <w:rFonts w:hint="default" w:ascii="Times New Roman" w:hAnsi="Times New Roman" w:cs="Times New Roman"/>
                <w:color w:val="auto"/>
              </w:rPr>
              <w:tab/>
            </w:r>
            <w:r>
              <w:rPr>
                <w:rFonts w:hint="default" w:ascii="Times New Roman" w:hAnsi="Times New Roman" w:cs="Times New Roman"/>
                <w:color w:val="auto"/>
              </w:rPr>
              <w:tab/>
            </w:r>
            <w:r>
              <w:rPr>
                <w:rFonts w:hint="default" w:ascii="Times New Roman" w:hAnsi="Times New Roman" w:cs="Times New Roman"/>
                <w:color w:val="auto"/>
              </w:rPr>
              <w:t xml:space="preserve">                                 </w:t>
            </w:r>
            <w:r>
              <w:rPr>
                <w:rFonts w:hint="default" w:ascii="Times New Roman" w:hAnsi="Times New Roman" w:cs="Times New Roman"/>
                <w:color w:val="auto"/>
              </w:rPr>
              <w:tab/>
            </w:r>
            <w:r>
              <w:rPr>
                <w:rFonts w:hint="default" w:ascii="Times New Roman" w:hAnsi="Times New Roman" w:cs="Times New Roman"/>
                <w:color w:val="auto"/>
              </w:rPr>
              <w:t>………（11-2）</w:t>
            </w:r>
          </w:p>
          <w:p>
            <w:pPr>
              <w:pStyle w:val="47"/>
              <w:rPr>
                <w:rFonts w:hint="default" w:ascii="Times New Roman" w:hAnsi="Times New Roman" w:cs="Times New Roman"/>
                <w:color w:val="auto"/>
              </w:rPr>
            </w:pPr>
            <w:r>
              <w:rPr>
                <w:rFonts w:hint="default" w:ascii="Times New Roman" w:hAnsi="Times New Roman" w:cs="Times New Roman"/>
                <w:color w:val="auto"/>
              </w:rPr>
              <w:t>式中：</w:t>
            </w:r>
            <w:r>
              <w:rPr>
                <w:rFonts w:hint="default" w:ascii="Times New Roman" w:hAnsi="Times New Roman" w:cs="Times New Roman"/>
                <w:color w:val="auto"/>
              </w:rPr>
              <w:tab/>
            </w:r>
            <w:r>
              <w:rPr>
                <w:rFonts w:hint="default" w:ascii="Times New Roman" w:hAnsi="Times New Roman" w:cs="Times New Roman"/>
                <w:color w:val="auto"/>
              </w:rPr>
              <w:t>I——X射线探伤装置在最高管电压下的常用最大管电流，单位为毫安（mA）；</w:t>
            </w:r>
          </w:p>
          <w:p>
            <w:pPr>
              <w:pStyle w:val="47"/>
              <w:rPr>
                <w:rFonts w:hint="default" w:ascii="Times New Roman" w:hAnsi="Times New Roman" w:cs="Times New Roman"/>
                <w:color w:val="auto"/>
              </w:rPr>
            </w:pPr>
            <w:r>
              <w:rPr>
                <w:rFonts w:hint="default" w:ascii="Times New Roman" w:hAnsi="Times New Roman" w:cs="Times New Roman"/>
                <w:color w:val="auto"/>
              </w:rPr>
              <w:tab/>
            </w:r>
            <w:r>
              <w:rPr>
                <w:rFonts w:hint="default" w:ascii="Times New Roman" w:hAnsi="Times New Roman" w:cs="Times New Roman"/>
                <w:color w:val="auto"/>
              </w:rPr>
              <w:tab/>
            </w:r>
            <w:r>
              <w:rPr>
                <w:rFonts w:hint="default" w:ascii="Times New Roman" w:hAnsi="Times New Roman" w:cs="Times New Roman"/>
                <w:color w:val="auto"/>
              </w:rPr>
              <w:t>H</w:t>
            </w:r>
            <w:r>
              <w:rPr>
                <w:rFonts w:hint="default" w:ascii="Times New Roman" w:hAnsi="Times New Roman" w:cs="Times New Roman"/>
                <w:color w:val="auto"/>
                <w:vertAlign w:val="subscript"/>
              </w:rPr>
              <w:t>0</w:t>
            </w:r>
            <w:r>
              <w:rPr>
                <w:rFonts w:hint="default" w:ascii="Times New Roman" w:hAnsi="Times New Roman" w:cs="Times New Roman"/>
                <w:color w:val="auto"/>
              </w:rPr>
              <w:t>——距辐射源点（靶点）1m处输出量，μSv·m</w:t>
            </w:r>
            <w:r>
              <w:rPr>
                <w:rFonts w:hint="default" w:ascii="Times New Roman" w:hAnsi="Times New Roman" w:cs="Times New Roman"/>
                <w:color w:val="auto"/>
                <w:vertAlign w:val="superscript"/>
              </w:rPr>
              <w:t>2</w:t>
            </w:r>
            <w:r>
              <w:rPr>
                <w:rFonts w:hint="default" w:ascii="Times New Roman" w:hAnsi="Times New Roman" w:cs="Times New Roman"/>
                <w:color w:val="auto"/>
              </w:rPr>
              <w:t>/(mA·h)，以mSv·m</w:t>
            </w:r>
            <w:r>
              <w:rPr>
                <w:rFonts w:hint="default" w:ascii="Times New Roman" w:hAnsi="Times New Roman" w:cs="Times New Roman"/>
                <w:color w:val="auto"/>
                <w:vertAlign w:val="superscript"/>
              </w:rPr>
              <w:t>2</w:t>
            </w:r>
            <w:r>
              <w:rPr>
                <w:rFonts w:hint="default" w:ascii="Times New Roman" w:hAnsi="Times New Roman" w:cs="Times New Roman"/>
                <w:color w:val="auto"/>
              </w:rPr>
              <w:t>/(mA·min)为单位的值乘以6×10</w:t>
            </w:r>
            <w:r>
              <w:rPr>
                <w:rFonts w:hint="default" w:ascii="Times New Roman" w:hAnsi="Times New Roman" w:cs="Times New Roman"/>
                <w:color w:val="auto"/>
                <w:vertAlign w:val="superscript"/>
              </w:rPr>
              <w:t>4</w:t>
            </w:r>
            <w:r>
              <w:rPr>
                <w:rFonts w:hint="default" w:ascii="Times New Roman" w:hAnsi="Times New Roman" w:cs="Times New Roman"/>
                <w:color w:val="auto"/>
              </w:rPr>
              <w:t>；</w:t>
            </w:r>
          </w:p>
          <w:p>
            <w:pPr>
              <w:pStyle w:val="47"/>
              <w:rPr>
                <w:rFonts w:hint="default" w:ascii="Times New Roman" w:hAnsi="Times New Roman" w:cs="Times New Roman"/>
                <w:color w:val="auto"/>
              </w:rPr>
            </w:pPr>
            <w:r>
              <w:rPr>
                <w:rFonts w:hint="default" w:ascii="Times New Roman" w:hAnsi="Times New Roman" w:cs="Times New Roman"/>
                <w:color w:val="auto"/>
              </w:rPr>
              <w:tab/>
            </w:r>
            <w:r>
              <w:rPr>
                <w:rFonts w:hint="default" w:ascii="Times New Roman" w:hAnsi="Times New Roman" w:cs="Times New Roman"/>
                <w:color w:val="auto"/>
              </w:rPr>
              <w:tab/>
            </w:r>
            <w:r>
              <w:rPr>
                <w:rFonts w:hint="default" w:ascii="Times New Roman" w:hAnsi="Times New Roman" w:cs="Times New Roman"/>
                <w:color w:val="auto"/>
              </w:rPr>
              <w:t>B——屏蔽透射因子；；</w:t>
            </w:r>
          </w:p>
          <w:p>
            <w:pPr>
              <w:pStyle w:val="47"/>
              <w:rPr>
                <w:rFonts w:hint="default" w:ascii="Times New Roman" w:hAnsi="Times New Roman" w:cs="Times New Roman"/>
                <w:color w:val="auto"/>
              </w:rPr>
            </w:pPr>
            <w:r>
              <w:rPr>
                <w:rFonts w:hint="default" w:ascii="Times New Roman" w:hAnsi="Times New Roman" w:cs="Times New Roman"/>
                <w:color w:val="auto"/>
              </w:rPr>
              <w:tab/>
            </w:r>
            <w:r>
              <w:rPr>
                <w:rFonts w:hint="default" w:ascii="Times New Roman" w:hAnsi="Times New Roman" w:cs="Times New Roman"/>
                <w:color w:val="auto"/>
              </w:rPr>
              <w:tab/>
            </w:r>
            <w:r>
              <w:rPr>
                <w:rFonts w:hint="default" w:ascii="Times New Roman" w:hAnsi="Times New Roman" w:cs="Times New Roman"/>
                <w:color w:val="auto"/>
              </w:rPr>
              <w:t>R——辐射源点（靶点）至关注点的距离，单位为米（m）。</w:t>
            </w:r>
          </w:p>
          <w:p>
            <w:pPr>
              <w:pStyle w:val="47"/>
              <w:ind w:firstLine="482"/>
              <w:rPr>
                <w:rFonts w:hint="default" w:ascii="Times New Roman" w:hAnsi="Times New Roman" w:cs="Times New Roman"/>
                <w:color w:val="auto"/>
              </w:rPr>
            </w:pPr>
            <w:r>
              <w:rPr>
                <w:rFonts w:hint="default" w:ascii="Times New Roman" w:hAnsi="Times New Roman" w:cs="Times New Roman"/>
                <w:b/>
                <w:bCs/>
                <w:color w:val="auto"/>
              </w:rPr>
              <w:t>2）屏蔽物质厚度X与屏蔽透射因子B相应的关系</w:t>
            </w:r>
          </w:p>
          <w:p>
            <w:pPr>
              <w:pStyle w:val="47"/>
              <w:rPr>
                <w:rFonts w:hint="default" w:ascii="Times New Roman" w:hAnsi="Times New Roman" w:cs="Times New Roman"/>
                <w:color w:val="auto"/>
              </w:rPr>
            </w:pPr>
            <w:r>
              <w:rPr>
                <w:rFonts w:hint="default" w:ascii="Times New Roman" w:hAnsi="Times New Roman" w:cs="Times New Roman"/>
                <w:color w:val="auto"/>
              </w:rPr>
              <w:t>a)对于给定的屏蔽物质厚度X，相应的辐射屏蔽透射因子B按式11-3计算：</w:t>
            </w:r>
          </w:p>
          <w:p>
            <w:pPr>
              <w:pStyle w:val="47"/>
              <w:spacing w:before="156" w:beforeLines="50" w:after="156" w:afterLines="50"/>
              <w:rPr>
                <w:rFonts w:hint="default" w:ascii="Times New Roman" w:hAnsi="Times New Roman" w:cs="Times New Roman"/>
                <w:color w:val="auto"/>
              </w:rPr>
            </w:pPr>
            <w:r>
              <w:rPr>
                <w:rFonts w:hint="default" w:ascii="Times New Roman" w:hAnsi="Times New Roman" w:cs="Times New Roman"/>
                <w:color w:val="auto"/>
              </w:rPr>
              <w:drawing>
                <wp:anchor distT="0" distB="0" distL="114300" distR="114300" simplePos="0" relativeHeight="251661312" behindDoc="0" locked="0" layoutInCell="1" allowOverlap="1">
                  <wp:simplePos x="0" y="0"/>
                  <wp:positionH relativeFrom="column">
                    <wp:posOffset>1704975</wp:posOffset>
                  </wp:positionH>
                  <wp:positionV relativeFrom="paragraph">
                    <wp:posOffset>48895</wp:posOffset>
                  </wp:positionV>
                  <wp:extent cx="1200150" cy="342900"/>
                  <wp:effectExtent l="0" t="0" r="0" b="0"/>
                  <wp:wrapNone/>
                  <wp:docPr id="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6"/>
                          <pic:cNvPicPr>
                            <a:picLocks noChangeAspect="1"/>
                          </pic:cNvPicPr>
                        </pic:nvPicPr>
                        <pic:blipFill>
                          <a:blip r:embed="rId15"/>
                          <a:stretch>
                            <a:fillRect/>
                          </a:stretch>
                        </pic:blipFill>
                        <pic:spPr>
                          <a:xfrm>
                            <a:off x="0" y="0"/>
                            <a:ext cx="1200150" cy="342900"/>
                          </a:xfrm>
                          <a:prstGeom prst="rect">
                            <a:avLst/>
                          </a:prstGeom>
                          <a:noFill/>
                          <a:ln>
                            <a:noFill/>
                          </a:ln>
                        </pic:spPr>
                      </pic:pic>
                    </a:graphicData>
                  </a:graphic>
                </wp:anchor>
              </w:drawing>
            </w:r>
            <w:r>
              <w:rPr>
                <w:rFonts w:hint="default" w:ascii="Times New Roman" w:hAnsi="Times New Roman" w:cs="Times New Roman"/>
                <w:color w:val="auto"/>
              </w:rPr>
              <w:tab/>
            </w:r>
            <w:r>
              <w:rPr>
                <w:rFonts w:hint="default" w:ascii="Times New Roman" w:hAnsi="Times New Roman" w:cs="Times New Roman"/>
                <w:color w:val="auto"/>
              </w:rPr>
              <w:tab/>
            </w:r>
            <w:r>
              <w:rPr>
                <w:rFonts w:hint="default" w:ascii="Times New Roman" w:hAnsi="Times New Roman" w:cs="Times New Roman"/>
                <w:color w:val="auto"/>
              </w:rPr>
              <w:tab/>
            </w:r>
            <w:r>
              <w:rPr>
                <w:rFonts w:hint="default" w:ascii="Times New Roman" w:hAnsi="Times New Roman" w:cs="Times New Roman"/>
                <w:color w:val="auto"/>
              </w:rPr>
              <w:tab/>
            </w:r>
            <w:r>
              <w:rPr>
                <w:rFonts w:hint="default" w:ascii="Times New Roman" w:hAnsi="Times New Roman" w:cs="Times New Roman"/>
                <w:color w:val="auto"/>
              </w:rPr>
              <w:tab/>
            </w:r>
            <w:r>
              <w:rPr>
                <w:rFonts w:hint="default" w:ascii="Times New Roman" w:hAnsi="Times New Roman" w:cs="Times New Roman"/>
                <w:color w:val="auto"/>
              </w:rPr>
              <w:t xml:space="preserve">                                    </w:t>
            </w:r>
            <w:r>
              <w:rPr>
                <w:rFonts w:hint="default" w:ascii="Times New Roman" w:hAnsi="Times New Roman" w:cs="Times New Roman"/>
                <w:color w:val="auto"/>
              </w:rPr>
              <w:tab/>
            </w:r>
            <w:r>
              <w:rPr>
                <w:rFonts w:hint="default" w:ascii="Times New Roman" w:hAnsi="Times New Roman" w:cs="Times New Roman"/>
                <w:color w:val="auto"/>
              </w:rPr>
              <w:tab/>
            </w:r>
            <w:r>
              <w:rPr>
                <w:rFonts w:hint="default" w:ascii="Times New Roman" w:hAnsi="Times New Roman" w:cs="Times New Roman"/>
                <w:color w:val="auto"/>
              </w:rPr>
              <w:tab/>
            </w:r>
            <w:r>
              <w:rPr>
                <w:rFonts w:hint="default" w:ascii="Times New Roman" w:hAnsi="Times New Roman" w:cs="Times New Roman"/>
                <w:color w:val="auto"/>
              </w:rPr>
              <w:tab/>
            </w:r>
            <w:r>
              <w:rPr>
                <w:rFonts w:hint="default" w:ascii="Times New Roman" w:hAnsi="Times New Roman" w:cs="Times New Roman"/>
                <w:color w:val="auto"/>
              </w:rPr>
              <w:tab/>
            </w:r>
            <w:r>
              <w:rPr>
                <w:rFonts w:hint="default" w:ascii="Times New Roman" w:hAnsi="Times New Roman" w:cs="Times New Roman"/>
                <w:color w:val="auto"/>
              </w:rPr>
              <w:t>………（11-3）</w:t>
            </w:r>
          </w:p>
          <w:p>
            <w:pPr>
              <w:pStyle w:val="47"/>
              <w:rPr>
                <w:rFonts w:hint="default" w:ascii="Times New Roman" w:hAnsi="Times New Roman" w:cs="Times New Roman"/>
                <w:color w:val="auto"/>
              </w:rPr>
            </w:pPr>
            <w:r>
              <w:rPr>
                <w:rFonts w:hint="default" w:ascii="Times New Roman" w:hAnsi="Times New Roman" w:cs="Times New Roman"/>
                <w:color w:val="auto"/>
              </w:rPr>
              <w:t>式中：</w:t>
            </w:r>
            <w:r>
              <w:rPr>
                <w:rFonts w:hint="default" w:ascii="Times New Roman" w:hAnsi="Times New Roman" w:cs="Times New Roman"/>
                <w:color w:val="auto"/>
              </w:rPr>
              <w:tab/>
            </w:r>
            <w:r>
              <w:rPr>
                <w:rFonts w:hint="default" w:ascii="Times New Roman" w:hAnsi="Times New Roman" w:cs="Times New Roman"/>
                <w:color w:val="auto"/>
              </w:rPr>
              <w:t>X——屏蔽物质厚度，与TVL取相同的单位；</w:t>
            </w:r>
          </w:p>
          <w:p>
            <w:pPr>
              <w:pStyle w:val="47"/>
              <w:rPr>
                <w:rFonts w:hint="default" w:ascii="Times New Roman" w:hAnsi="Times New Roman" w:cs="Times New Roman"/>
                <w:color w:val="auto"/>
              </w:rPr>
            </w:pPr>
            <w:r>
              <w:rPr>
                <w:rFonts w:hint="default" w:ascii="Times New Roman" w:hAnsi="Times New Roman" w:cs="Times New Roman"/>
                <w:color w:val="auto"/>
              </w:rPr>
              <w:tab/>
            </w:r>
            <w:r>
              <w:rPr>
                <w:rFonts w:hint="default" w:ascii="Times New Roman" w:hAnsi="Times New Roman" w:cs="Times New Roman"/>
                <w:color w:val="auto"/>
              </w:rPr>
              <w:tab/>
            </w:r>
            <w:r>
              <w:rPr>
                <w:rFonts w:hint="default" w:ascii="Times New Roman" w:hAnsi="Times New Roman" w:cs="Times New Roman"/>
                <w:color w:val="auto"/>
              </w:rPr>
              <w:t>TVL——查表；</w:t>
            </w:r>
          </w:p>
          <w:p>
            <w:pPr>
              <w:pStyle w:val="47"/>
              <w:rPr>
                <w:rFonts w:hint="default" w:ascii="Times New Roman" w:hAnsi="Times New Roman" w:cs="Times New Roman"/>
                <w:color w:val="auto"/>
              </w:rPr>
            </w:pPr>
            <w:r>
              <w:rPr>
                <w:rFonts w:hint="default" w:ascii="Times New Roman" w:hAnsi="Times New Roman" w:cs="Times New Roman"/>
                <w:color w:val="auto"/>
              </w:rPr>
              <w:t>b)对于估算出的屏蔽透射因子B，所需的屏蔽物质厚度X按式11-4计算：</w:t>
            </w:r>
          </w:p>
          <w:p>
            <w:pPr>
              <w:pStyle w:val="47"/>
              <w:spacing w:before="156" w:beforeLines="50" w:after="156" w:afterLines="50"/>
              <w:rPr>
                <w:rFonts w:hint="default" w:ascii="Times New Roman" w:hAnsi="Times New Roman" w:cs="Times New Roman"/>
                <w:color w:val="auto"/>
              </w:rPr>
            </w:pPr>
            <w:r>
              <w:rPr>
                <w:rFonts w:hint="default" w:ascii="Times New Roman" w:hAnsi="Times New Roman" w:cs="Times New Roman"/>
                <w:color w:val="auto"/>
              </w:rPr>
              <w:drawing>
                <wp:anchor distT="0" distB="0" distL="114300" distR="114300" simplePos="0" relativeHeight="251662336" behindDoc="0" locked="0" layoutInCell="1" allowOverlap="1">
                  <wp:simplePos x="0" y="0"/>
                  <wp:positionH relativeFrom="column">
                    <wp:posOffset>1704975</wp:posOffset>
                  </wp:positionH>
                  <wp:positionV relativeFrom="paragraph">
                    <wp:posOffset>119380</wp:posOffset>
                  </wp:positionV>
                  <wp:extent cx="1200150" cy="285750"/>
                  <wp:effectExtent l="0" t="0" r="0" b="0"/>
                  <wp:wrapNone/>
                  <wp:docPr id="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9"/>
                          <pic:cNvPicPr>
                            <a:picLocks noChangeAspect="1"/>
                          </pic:cNvPicPr>
                        </pic:nvPicPr>
                        <pic:blipFill>
                          <a:blip r:embed="rId16"/>
                          <a:stretch>
                            <a:fillRect/>
                          </a:stretch>
                        </pic:blipFill>
                        <pic:spPr>
                          <a:xfrm>
                            <a:off x="0" y="0"/>
                            <a:ext cx="1200150" cy="285750"/>
                          </a:xfrm>
                          <a:prstGeom prst="rect">
                            <a:avLst/>
                          </a:prstGeom>
                          <a:noFill/>
                          <a:ln>
                            <a:noFill/>
                          </a:ln>
                        </pic:spPr>
                      </pic:pic>
                    </a:graphicData>
                  </a:graphic>
                </wp:anchor>
              </w:drawing>
            </w:r>
            <w:r>
              <w:rPr>
                <w:rFonts w:hint="default" w:ascii="Times New Roman" w:hAnsi="Times New Roman" w:cs="Times New Roman"/>
                <w:color w:val="auto"/>
              </w:rPr>
              <w:tab/>
            </w:r>
            <w:r>
              <w:rPr>
                <w:rFonts w:hint="default" w:ascii="Times New Roman" w:hAnsi="Times New Roman" w:cs="Times New Roman"/>
                <w:color w:val="auto"/>
              </w:rPr>
              <w:tab/>
            </w:r>
            <w:r>
              <w:rPr>
                <w:rFonts w:hint="default" w:ascii="Times New Roman" w:hAnsi="Times New Roman" w:cs="Times New Roman"/>
                <w:color w:val="auto"/>
              </w:rPr>
              <w:tab/>
            </w:r>
            <w:r>
              <w:rPr>
                <w:rFonts w:hint="default" w:ascii="Times New Roman" w:hAnsi="Times New Roman" w:cs="Times New Roman"/>
                <w:color w:val="auto"/>
              </w:rPr>
              <w:t xml:space="preserve">                                   </w:t>
            </w:r>
            <w:r>
              <w:rPr>
                <w:rFonts w:hint="default" w:ascii="Times New Roman" w:hAnsi="Times New Roman" w:cs="Times New Roman"/>
                <w:color w:val="auto"/>
              </w:rPr>
              <w:tab/>
            </w:r>
            <w:r>
              <w:rPr>
                <w:rFonts w:hint="default" w:ascii="Times New Roman" w:hAnsi="Times New Roman" w:cs="Times New Roman"/>
                <w:color w:val="auto"/>
              </w:rPr>
              <w:tab/>
            </w:r>
            <w:r>
              <w:rPr>
                <w:rFonts w:hint="default" w:ascii="Times New Roman" w:hAnsi="Times New Roman" w:cs="Times New Roman"/>
                <w:color w:val="auto"/>
              </w:rPr>
              <w:tab/>
            </w:r>
            <w:r>
              <w:rPr>
                <w:rFonts w:hint="default" w:ascii="Times New Roman" w:hAnsi="Times New Roman" w:cs="Times New Roman"/>
                <w:color w:val="auto"/>
              </w:rPr>
              <w:tab/>
            </w:r>
            <w:r>
              <w:rPr>
                <w:rFonts w:hint="default" w:ascii="Times New Roman" w:hAnsi="Times New Roman" w:cs="Times New Roman"/>
                <w:color w:val="auto"/>
              </w:rPr>
              <w:tab/>
            </w:r>
            <w:r>
              <w:rPr>
                <w:rFonts w:hint="default" w:ascii="Times New Roman" w:hAnsi="Times New Roman" w:cs="Times New Roman"/>
                <w:color w:val="auto"/>
              </w:rPr>
              <w:tab/>
            </w:r>
            <w:r>
              <w:rPr>
                <w:rFonts w:hint="default" w:ascii="Times New Roman" w:hAnsi="Times New Roman" w:cs="Times New Roman"/>
                <w:color w:val="auto"/>
              </w:rPr>
              <w:tab/>
            </w:r>
            <w:r>
              <w:rPr>
                <w:rFonts w:hint="default" w:ascii="Times New Roman" w:hAnsi="Times New Roman" w:cs="Times New Roman"/>
                <w:color w:val="auto"/>
              </w:rPr>
              <w:t>………（11-4）</w:t>
            </w:r>
          </w:p>
          <w:p>
            <w:pPr>
              <w:pStyle w:val="47"/>
              <w:rPr>
                <w:rFonts w:hint="default" w:ascii="Times New Roman" w:hAnsi="Times New Roman" w:cs="Times New Roman"/>
                <w:color w:val="auto"/>
              </w:rPr>
            </w:pPr>
            <w:r>
              <w:rPr>
                <w:rFonts w:hint="default" w:ascii="Times New Roman" w:hAnsi="Times New Roman" w:cs="Times New Roman"/>
                <w:color w:val="auto"/>
              </w:rPr>
              <w:t>式中：</w:t>
            </w:r>
            <w:r>
              <w:rPr>
                <w:rFonts w:hint="default" w:ascii="Times New Roman" w:hAnsi="Times New Roman" w:cs="Times New Roman"/>
                <w:color w:val="auto"/>
              </w:rPr>
              <w:tab/>
            </w:r>
            <w:r>
              <w:rPr>
                <w:rFonts w:hint="default" w:ascii="Times New Roman" w:hAnsi="Times New Roman" w:cs="Times New Roman"/>
                <w:color w:val="auto"/>
              </w:rPr>
              <w:t>B——达到剂量参考控制水平</w:t>
            </w:r>
            <w:r>
              <w:rPr>
                <w:rFonts w:hint="default" w:ascii="Times New Roman" w:hAnsi="Times New Roman" w:cs="Times New Roman"/>
                <w:i/>
                <w:iCs/>
                <w:color w:val="auto"/>
              </w:rPr>
              <w:t>H</w:t>
            </w:r>
            <w:r>
              <w:rPr>
                <w:rFonts w:hint="default" w:ascii="Times New Roman" w:hAnsi="Times New Roman" w:cs="Times New Roman"/>
                <w:i/>
                <w:iCs/>
                <w:color w:val="auto"/>
                <w:sz w:val="16"/>
                <w:szCs w:val="16"/>
              </w:rPr>
              <w:t>c</w:t>
            </w:r>
            <w:r>
              <w:rPr>
                <w:rFonts w:hint="default" w:ascii="Times New Roman" w:hAnsi="Times New Roman" w:cs="Times New Roman"/>
                <w:color w:val="auto"/>
              </w:rPr>
              <w:t>时所需的屏蔽透射因子；</w:t>
            </w:r>
          </w:p>
          <w:p>
            <w:pPr>
              <w:pStyle w:val="47"/>
              <w:rPr>
                <w:rFonts w:hint="default" w:ascii="Times New Roman" w:hAnsi="Times New Roman" w:cs="Times New Roman"/>
                <w:color w:val="auto"/>
              </w:rPr>
            </w:pPr>
            <w:r>
              <w:rPr>
                <w:rFonts w:hint="default" w:ascii="Times New Roman" w:hAnsi="Times New Roman" w:cs="Times New Roman"/>
                <w:color w:val="auto"/>
              </w:rPr>
              <w:tab/>
            </w:r>
            <w:r>
              <w:rPr>
                <w:rFonts w:hint="default" w:ascii="Times New Roman" w:hAnsi="Times New Roman" w:cs="Times New Roman"/>
                <w:color w:val="auto"/>
              </w:rPr>
              <w:tab/>
            </w:r>
            <w:r>
              <w:rPr>
                <w:rFonts w:hint="default" w:ascii="Times New Roman" w:hAnsi="Times New Roman" w:cs="Times New Roman"/>
                <w:color w:val="auto"/>
              </w:rPr>
              <w:t>TVL——查表；</w:t>
            </w:r>
          </w:p>
          <w:p>
            <w:pPr>
              <w:pStyle w:val="47"/>
              <w:rPr>
                <w:rFonts w:hint="default" w:ascii="Times New Roman" w:hAnsi="Times New Roman" w:cs="Times New Roman"/>
                <w:color w:val="auto"/>
              </w:rPr>
            </w:pPr>
            <w:r>
              <w:rPr>
                <w:rFonts w:hint="default" w:ascii="Times New Roman" w:hAnsi="Times New Roman" w:cs="Times New Roman"/>
                <w:color w:val="auto"/>
              </w:rPr>
              <w:t>由《</w:t>
            </w:r>
            <w:r>
              <w:rPr>
                <w:rFonts w:hint="eastAsia" w:cs="Times New Roman"/>
                <w:color w:val="auto"/>
                <w:lang w:val="en-US" w:eastAsia="zh-CN"/>
              </w:rPr>
              <w:t>辐射防护导论</w:t>
            </w:r>
            <w:r>
              <w:rPr>
                <w:rFonts w:hint="default" w:ascii="Times New Roman" w:hAnsi="Times New Roman" w:cs="Times New Roman"/>
                <w:color w:val="auto"/>
              </w:rPr>
              <w:t>》（</w:t>
            </w:r>
            <w:r>
              <w:rPr>
                <w:rFonts w:hint="eastAsia" w:cs="Times New Roman"/>
                <w:color w:val="auto"/>
                <w:lang w:val="en-US" w:eastAsia="zh-CN"/>
              </w:rPr>
              <w:t>方杰主编</w:t>
            </w:r>
            <w:r>
              <w:rPr>
                <w:rFonts w:hint="default" w:ascii="Times New Roman" w:hAnsi="Times New Roman" w:cs="Times New Roman"/>
                <w:color w:val="auto"/>
              </w:rPr>
              <w:t>）</w:t>
            </w:r>
            <w:r>
              <w:rPr>
                <w:rFonts w:hint="eastAsia" w:cs="Times New Roman"/>
                <w:color w:val="auto"/>
                <w:lang w:val="en-US" w:eastAsia="zh-CN"/>
              </w:rPr>
              <w:t>中</w:t>
            </w:r>
            <w:r>
              <w:rPr>
                <w:rFonts w:hint="default" w:ascii="Times New Roman" w:hAnsi="Times New Roman" w:cs="Times New Roman"/>
                <w:color w:val="auto"/>
              </w:rPr>
              <w:t>表</w:t>
            </w:r>
            <w:r>
              <w:rPr>
                <w:rFonts w:hint="eastAsia" w:cs="Times New Roman"/>
                <w:color w:val="auto"/>
                <w:lang w:val="en-US" w:eastAsia="zh-CN"/>
              </w:rPr>
              <w:t>3.5宽束X射线的平衡Δ</w:t>
            </w:r>
            <w:r>
              <w:rPr>
                <w:rFonts w:hint="eastAsia" w:cs="Times New Roman"/>
                <w:color w:val="auto"/>
                <w:vertAlign w:val="subscript"/>
                <w:lang w:val="en-US" w:eastAsia="zh-CN"/>
              </w:rPr>
              <w:t>1/2</w:t>
            </w:r>
            <w:r>
              <w:rPr>
                <w:rFonts w:hint="eastAsia" w:cs="Times New Roman"/>
                <w:color w:val="auto"/>
                <w:lang w:val="en-US" w:eastAsia="zh-CN"/>
              </w:rPr>
              <w:t>和Δ</w:t>
            </w:r>
            <w:r>
              <w:rPr>
                <w:rFonts w:hint="eastAsia" w:cs="Times New Roman"/>
                <w:color w:val="auto"/>
                <w:vertAlign w:val="subscript"/>
                <w:lang w:val="en-US" w:eastAsia="zh-CN"/>
              </w:rPr>
              <w:t>1/10</w:t>
            </w:r>
            <w:r>
              <w:rPr>
                <w:rFonts w:hint="eastAsia" w:cs="Times New Roman"/>
                <w:color w:val="auto"/>
                <w:vertAlign w:val="baseline"/>
                <w:lang w:val="en-US" w:eastAsia="zh-CN"/>
              </w:rPr>
              <w:t>值</w:t>
            </w:r>
            <w:r>
              <w:rPr>
                <w:rFonts w:hint="default" w:ascii="Times New Roman" w:hAnsi="Times New Roman" w:cs="Times New Roman"/>
                <w:color w:val="auto"/>
              </w:rPr>
              <w:t>可查得以上不同电压铅的TVL</w:t>
            </w:r>
            <w:r>
              <w:rPr>
                <w:rFonts w:hint="eastAsia" w:cs="Times New Roman"/>
                <w:color w:val="auto"/>
                <w:lang w:eastAsia="zh-CN"/>
              </w:rPr>
              <w:t>（</w:t>
            </w:r>
            <w:r>
              <w:rPr>
                <w:rFonts w:hint="eastAsia" w:cs="Times New Roman"/>
                <w:color w:val="auto"/>
                <w:lang w:val="en-US" w:eastAsia="zh-CN"/>
              </w:rPr>
              <w:t>Δ</w:t>
            </w:r>
            <w:r>
              <w:rPr>
                <w:rFonts w:hint="eastAsia" w:cs="Times New Roman"/>
                <w:color w:val="auto"/>
                <w:vertAlign w:val="subscript"/>
                <w:lang w:val="en-US" w:eastAsia="zh-CN"/>
              </w:rPr>
              <w:t>1/10</w:t>
            </w:r>
            <w:r>
              <w:rPr>
                <w:rFonts w:hint="eastAsia" w:cs="Times New Roman"/>
                <w:color w:val="auto"/>
                <w:lang w:eastAsia="zh-CN"/>
              </w:rPr>
              <w:t>）</w:t>
            </w:r>
            <w:r>
              <w:rPr>
                <w:rFonts w:hint="default" w:ascii="Times New Roman" w:hAnsi="Times New Roman" w:cs="Times New Roman"/>
                <w:color w:val="auto"/>
              </w:rPr>
              <w:t>值，采用内插法计算出相应电压下的TVL值，本项目使用的什值层取值见下表。</w:t>
            </w:r>
          </w:p>
          <w:p>
            <w:pPr>
              <w:pStyle w:val="49"/>
              <w:rPr>
                <w:rFonts w:hint="default" w:ascii="Times New Roman" w:hAnsi="Times New Roman" w:cs="Times New Roman"/>
                <w:color w:val="auto"/>
              </w:rPr>
            </w:pPr>
            <w:r>
              <w:rPr>
                <w:rFonts w:hint="default" w:ascii="Times New Roman" w:hAnsi="Times New Roman" w:cs="Times New Roman"/>
                <w:color w:val="auto"/>
              </w:rPr>
              <w:t>表11-4 什层值取值</w:t>
            </w:r>
          </w:p>
          <w:tbl>
            <w:tblPr>
              <w:tblStyle w:val="2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70"/>
              <w:gridCol w:w="2771"/>
              <w:gridCol w:w="27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6" w:type="dxa"/>
                  <w:vMerge w:val="restart"/>
                  <w:noWrap w:val="0"/>
                  <w:vAlign w:val="center"/>
                </w:tcPr>
                <w:p>
                  <w:pPr>
                    <w:pStyle w:val="53"/>
                    <w:rPr>
                      <w:rFonts w:hint="default" w:ascii="Times New Roman" w:hAnsi="Times New Roman" w:cs="Times New Roman"/>
                      <w:color w:val="auto"/>
                    </w:rPr>
                  </w:pPr>
                  <w:r>
                    <w:rPr>
                      <w:rFonts w:hint="default" w:ascii="Times New Roman" w:hAnsi="Times New Roman" w:cs="Times New Roman"/>
                      <w:color w:val="auto"/>
                    </w:rPr>
                    <w:t>电压等级</w:t>
                  </w:r>
                </w:p>
              </w:tc>
              <w:tc>
                <w:tcPr>
                  <w:tcW w:w="5534" w:type="dxa"/>
                  <w:gridSpan w:val="2"/>
                  <w:noWrap w:val="0"/>
                  <w:vAlign w:val="center"/>
                </w:tcPr>
                <w:p>
                  <w:pPr>
                    <w:pStyle w:val="53"/>
                    <w:rPr>
                      <w:rFonts w:hint="default" w:ascii="Times New Roman" w:hAnsi="Times New Roman" w:cs="Times New Roman"/>
                      <w:color w:val="auto"/>
                    </w:rPr>
                  </w:pPr>
                  <w:r>
                    <w:rPr>
                      <w:rFonts w:hint="default" w:ascii="Times New Roman" w:hAnsi="Times New Roman" w:cs="Times New Roman"/>
                      <w:color w:val="auto"/>
                    </w:rPr>
                    <w:t>什值层（TVL）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6" w:type="dxa"/>
                  <w:vMerge w:val="continue"/>
                  <w:noWrap w:val="0"/>
                  <w:vAlign w:val="center"/>
                </w:tcPr>
                <w:p>
                  <w:pPr>
                    <w:pStyle w:val="53"/>
                    <w:rPr>
                      <w:rFonts w:hint="default" w:ascii="Times New Roman" w:hAnsi="Times New Roman" w:cs="Times New Roman"/>
                      <w:color w:val="auto"/>
                    </w:rPr>
                  </w:pPr>
                </w:p>
              </w:tc>
              <w:tc>
                <w:tcPr>
                  <w:tcW w:w="2767" w:type="dxa"/>
                  <w:noWrap w:val="0"/>
                  <w:vAlign w:val="center"/>
                </w:tcPr>
                <w:p>
                  <w:pPr>
                    <w:pStyle w:val="53"/>
                    <w:rPr>
                      <w:rFonts w:hint="default" w:ascii="Times New Roman" w:hAnsi="Times New Roman" w:cs="Times New Roman"/>
                      <w:color w:val="auto"/>
                    </w:rPr>
                  </w:pPr>
                  <w:r>
                    <w:rPr>
                      <w:rFonts w:hint="default" w:ascii="Times New Roman" w:hAnsi="Times New Roman" w:cs="Times New Roman"/>
                      <w:color w:val="auto"/>
                    </w:rPr>
                    <w:t>铅（mm）</w:t>
                  </w:r>
                </w:p>
              </w:tc>
              <w:tc>
                <w:tcPr>
                  <w:tcW w:w="2767" w:type="dxa"/>
                  <w:noWrap w:val="0"/>
                  <w:vAlign w:val="center"/>
                </w:tcPr>
                <w:p>
                  <w:pPr>
                    <w:pStyle w:val="53"/>
                    <w:rPr>
                      <w:rFonts w:hint="default" w:ascii="Times New Roman" w:hAnsi="Times New Roman" w:cs="Times New Roman"/>
                      <w:color w:val="auto"/>
                    </w:rPr>
                  </w:pPr>
                  <w:r>
                    <w:rPr>
                      <w:rFonts w:hint="default" w:ascii="Times New Roman" w:hAnsi="Times New Roman" w:cs="Times New Roman"/>
                      <w:color w:val="auto"/>
                    </w:rPr>
                    <w:t>混凝土（mm）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6" w:type="dxa"/>
                  <w:noWrap w:val="0"/>
                  <w:vAlign w:val="center"/>
                </w:tcPr>
                <w:p>
                  <w:pPr>
                    <w:pStyle w:val="53"/>
                    <w:rPr>
                      <w:rFonts w:hint="default" w:ascii="Times New Roman" w:hAnsi="Times New Roman" w:cs="Times New Roman"/>
                      <w:color w:val="auto"/>
                    </w:rPr>
                  </w:pPr>
                  <w:r>
                    <w:rPr>
                      <w:rFonts w:hint="eastAsia" w:cs="Times New Roman"/>
                      <w:color w:val="auto"/>
                      <w:lang w:val="en-US" w:eastAsia="zh-CN"/>
                    </w:rPr>
                    <w:t>300</w:t>
                  </w:r>
                  <w:r>
                    <w:rPr>
                      <w:rFonts w:hint="default" w:ascii="Times New Roman" w:hAnsi="Times New Roman" w:cs="Times New Roman"/>
                      <w:color w:val="auto"/>
                    </w:rPr>
                    <w:t>kV</w:t>
                  </w:r>
                </w:p>
              </w:tc>
              <w:tc>
                <w:tcPr>
                  <w:tcW w:w="2767" w:type="dxa"/>
                  <w:noWrap w:val="0"/>
                  <w:vAlign w:val="center"/>
                </w:tcPr>
                <w:p>
                  <w:pPr>
                    <w:pStyle w:val="53"/>
                    <w:rPr>
                      <w:rFonts w:hint="default" w:ascii="Times New Roman" w:hAnsi="Times New Roman" w:eastAsia="宋体" w:cs="Times New Roman"/>
                      <w:color w:val="auto"/>
                      <w:lang w:val="en-US" w:eastAsia="zh-CN"/>
                    </w:rPr>
                  </w:pPr>
                  <w:r>
                    <w:rPr>
                      <w:rFonts w:hint="eastAsia" w:cs="Times New Roman"/>
                      <w:color w:val="auto"/>
                      <w:lang w:val="en-US" w:eastAsia="zh-CN"/>
                    </w:rPr>
                    <w:t>5.7</w:t>
                  </w:r>
                </w:p>
              </w:tc>
              <w:tc>
                <w:tcPr>
                  <w:tcW w:w="2767" w:type="dxa"/>
                  <w:noWrap w:val="0"/>
                  <w:vAlign w:val="center"/>
                </w:tcPr>
                <w:p>
                  <w:pPr>
                    <w:pStyle w:val="53"/>
                    <w:rPr>
                      <w:rFonts w:hint="default" w:ascii="Times New Roman" w:hAnsi="Times New Roman" w:eastAsia="宋体" w:cs="Times New Roman"/>
                      <w:color w:val="auto"/>
                      <w:lang w:val="en-US" w:eastAsia="zh-CN"/>
                    </w:rPr>
                  </w:pPr>
                  <w:r>
                    <w:rPr>
                      <w:rFonts w:hint="eastAsia" w:cs="Times New Roman"/>
                      <w:color w:val="auto"/>
                      <w:lang w:val="en-US" w:eastAsia="zh-CN"/>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6" w:type="dxa"/>
                  <w:noWrap w:val="0"/>
                  <w:vAlign w:val="center"/>
                </w:tcPr>
                <w:p>
                  <w:pPr>
                    <w:pStyle w:val="53"/>
                    <w:rPr>
                      <w:rFonts w:hint="default" w:ascii="Times New Roman" w:hAnsi="Times New Roman" w:cs="Times New Roman"/>
                      <w:color w:val="auto"/>
                    </w:rPr>
                  </w:pPr>
                  <w:r>
                    <w:rPr>
                      <w:rFonts w:hint="eastAsia" w:cs="Times New Roman"/>
                      <w:color w:val="auto"/>
                      <w:lang w:val="en-US" w:eastAsia="zh-CN"/>
                    </w:rPr>
                    <w:t>450</w:t>
                  </w:r>
                  <w:r>
                    <w:rPr>
                      <w:rFonts w:hint="default" w:ascii="Times New Roman" w:hAnsi="Times New Roman" w:cs="Times New Roman"/>
                      <w:color w:val="auto"/>
                    </w:rPr>
                    <w:t>kV</w:t>
                  </w:r>
                </w:p>
              </w:tc>
              <w:tc>
                <w:tcPr>
                  <w:tcW w:w="2767" w:type="dxa"/>
                  <w:noWrap w:val="0"/>
                  <w:vAlign w:val="center"/>
                </w:tcPr>
                <w:p>
                  <w:pPr>
                    <w:pStyle w:val="53"/>
                    <w:rPr>
                      <w:rFonts w:hint="default" w:ascii="Times New Roman" w:hAnsi="Times New Roman" w:eastAsia="宋体" w:cs="Times New Roman"/>
                      <w:color w:val="auto"/>
                      <w:lang w:val="en-US" w:eastAsia="zh-CN"/>
                    </w:rPr>
                  </w:pPr>
                  <w:r>
                    <w:rPr>
                      <w:rFonts w:hint="eastAsia" w:cs="Times New Roman"/>
                      <w:color w:val="auto"/>
                      <w:lang w:val="en-US" w:eastAsia="zh-CN"/>
                    </w:rPr>
                    <w:t>9.3</w:t>
                  </w:r>
                </w:p>
              </w:tc>
              <w:tc>
                <w:tcPr>
                  <w:tcW w:w="2767" w:type="dxa"/>
                  <w:noWrap w:val="0"/>
                  <w:vAlign w:val="center"/>
                </w:tcPr>
                <w:p>
                  <w:pPr>
                    <w:pStyle w:val="53"/>
                    <w:rPr>
                      <w:rFonts w:hint="default" w:ascii="Times New Roman" w:hAnsi="Times New Roman" w:eastAsia="宋体" w:cs="Times New Roman"/>
                      <w:color w:val="auto"/>
                      <w:lang w:val="en-US" w:eastAsia="zh-CN"/>
                    </w:rPr>
                  </w:pPr>
                  <w:r>
                    <w:rPr>
                      <w:rFonts w:hint="eastAsia" w:cs="Times New Roman"/>
                      <w:color w:val="auto"/>
                      <w:lang w:val="en-US" w:eastAsia="zh-CN"/>
                    </w:rPr>
                    <w:t>109.5</w:t>
                  </w:r>
                </w:p>
              </w:tc>
            </w:tr>
          </w:tbl>
          <w:p>
            <w:pPr>
              <w:pStyle w:val="42"/>
              <w:rPr>
                <w:rFonts w:hint="default" w:ascii="Times New Roman" w:hAnsi="Times New Roman" w:cs="Times New Roman"/>
                <w:color w:val="auto"/>
              </w:rPr>
            </w:pPr>
            <w:r>
              <w:rPr>
                <w:rFonts w:hint="default" w:ascii="Times New Roman" w:hAnsi="Times New Roman" w:cs="Times New Roman"/>
                <w:color w:val="auto"/>
              </w:rPr>
              <w:t>3）泄漏辐射屏蔽</w:t>
            </w:r>
          </w:p>
          <w:p>
            <w:pPr>
              <w:pStyle w:val="47"/>
              <w:rPr>
                <w:rFonts w:hint="default" w:ascii="Times New Roman" w:hAnsi="Times New Roman" w:cs="Times New Roman"/>
                <w:color w:val="auto"/>
                <w:kern w:val="0"/>
              </w:rPr>
            </w:pPr>
            <w:r>
              <w:rPr>
                <w:rFonts w:hint="default" w:ascii="Times New Roman" w:hAnsi="Times New Roman" w:cs="Times New Roman"/>
                <w:color w:val="auto"/>
                <w:kern w:val="0"/>
              </w:rPr>
              <w:t>a）关注点达到剂量率参考控制水平</w:t>
            </w:r>
            <m:oMath>
              <m:sSub>
                <m:sSubPr>
                  <m:ctrlPr>
                    <w:rPr>
                      <w:rFonts w:hint="default" w:ascii="Cambria Math" w:hAnsi="Cambria Math" w:cs="Times New Roman"/>
                      <w:color w:val="auto"/>
                    </w:rPr>
                  </m:ctrlPr>
                </m:sSubPr>
                <m:e>
                  <m:acc>
                    <m:accPr>
                      <m:chr m:val="̇"/>
                      <m:ctrlPr>
                        <w:rPr>
                          <w:rFonts w:hint="default" w:ascii="Cambria Math" w:hAnsi="Cambria Math" w:cs="Times New Roman"/>
                          <w:color w:val="auto"/>
                        </w:rPr>
                      </m:ctrlPr>
                    </m:accPr>
                    <m:e>
                      <m:r>
                        <m:rPr/>
                        <w:rPr>
                          <w:rFonts w:hint="default" w:ascii="Cambria Math" w:hAnsi="Cambria Math" w:cs="Times New Roman"/>
                          <w:color w:val="auto"/>
                        </w:rPr>
                        <m:t>H</m:t>
                      </m:r>
                      <m:ctrlPr>
                        <w:rPr>
                          <w:rFonts w:hint="default" w:ascii="Cambria Math" w:hAnsi="Cambria Math" w:cs="Times New Roman"/>
                          <w:color w:val="auto"/>
                        </w:rPr>
                      </m:ctrlPr>
                    </m:e>
                  </m:acc>
                  <m:ctrlPr>
                    <w:rPr>
                      <w:rFonts w:hint="default" w:ascii="Cambria Math" w:hAnsi="Cambria Math" w:cs="Times New Roman"/>
                      <w:color w:val="auto"/>
                    </w:rPr>
                  </m:ctrlPr>
                </m:e>
                <m:sub>
                  <m:r>
                    <m:rPr/>
                    <w:rPr>
                      <w:rFonts w:hint="default" w:ascii="Cambria Math" w:hAnsi="Cambria Math" w:cs="Times New Roman"/>
                      <w:color w:val="auto"/>
                    </w:rPr>
                    <m:t>c</m:t>
                  </m:r>
                  <m:ctrlPr>
                    <w:rPr>
                      <w:rFonts w:hint="default" w:ascii="Cambria Math" w:hAnsi="Cambria Math" w:cs="Times New Roman"/>
                      <w:color w:val="auto"/>
                    </w:rPr>
                  </m:ctrlPr>
                </m:sub>
              </m:sSub>
            </m:oMath>
            <w:r>
              <w:rPr>
                <w:rFonts w:hint="default" w:ascii="Times New Roman" w:hAnsi="Times New Roman" w:cs="Times New Roman"/>
                <w:color w:val="auto"/>
                <w:kern w:val="0"/>
              </w:rPr>
              <w:t>时所需的屏蔽透射因子</w:t>
            </w:r>
            <w:r>
              <w:rPr>
                <w:rFonts w:hint="default" w:ascii="Times New Roman" w:hAnsi="Times New Roman" w:cs="Times New Roman"/>
                <w:i/>
                <w:iCs/>
                <w:color w:val="auto"/>
                <w:kern w:val="0"/>
              </w:rPr>
              <w:t>B</w:t>
            </w:r>
            <w:r>
              <w:rPr>
                <w:rFonts w:hint="default" w:ascii="Times New Roman" w:hAnsi="Times New Roman" w:cs="Times New Roman"/>
                <w:color w:val="auto"/>
                <w:kern w:val="0"/>
              </w:rPr>
              <w:t>按式11-5计算，然后按式11-3计算所需的屏蔽物质厚度</w:t>
            </w:r>
            <w:r>
              <w:rPr>
                <w:rFonts w:hint="default" w:ascii="Times New Roman" w:hAnsi="Times New Roman" w:cs="Times New Roman"/>
                <w:i/>
                <w:iCs/>
                <w:color w:val="auto"/>
                <w:kern w:val="0"/>
              </w:rPr>
              <w:t>X</w:t>
            </w:r>
            <w:r>
              <w:rPr>
                <w:rFonts w:hint="default" w:ascii="Times New Roman" w:hAnsi="Times New Roman" w:cs="Times New Roman"/>
                <w:color w:val="auto"/>
                <w:kern w:val="0"/>
              </w:rPr>
              <w:t>。</w:t>
            </w:r>
          </w:p>
          <w:p>
            <w:pPr>
              <w:pStyle w:val="47"/>
              <w:spacing w:before="312" w:beforeLines="100" w:after="312" w:afterLines="100"/>
              <w:rPr>
                <w:rFonts w:hint="default" w:ascii="Times New Roman" w:hAnsi="Times New Roman" w:cs="Times New Roman"/>
                <w:color w:val="auto"/>
              </w:rPr>
            </w:pPr>
            <w:r>
              <w:rPr>
                <w:rFonts w:hint="default" w:ascii="Times New Roman" w:hAnsi="Times New Roman" w:cs="Times New Roman"/>
                <w:color w:val="auto"/>
                <w:kern w:val="0"/>
              </w:rPr>
              <w:drawing>
                <wp:anchor distT="0" distB="0" distL="114300" distR="114300" simplePos="0" relativeHeight="251663360" behindDoc="0" locked="0" layoutInCell="1" allowOverlap="1">
                  <wp:simplePos x="0" y="0"/>
                  <wp:positionH relativeFrom="column">
                    <wp:posOffset>1666875</wp:posOffset>
                  </wp:positionH>
                  <wp:positionV relativeFrom="paragraph">
                    <wp:posOffset>12700</wp:posOffset>
                  </wp:positionV>
                  <wp:extent cx="1238250" cy="666750"/>
                  <wp:effectExtent l="0" t="0" r="0" b="0"/>
                  <wp:wrapNone/>
                  <wp:docPr id="5"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2"/>
                          <pic:cNvPicPr>
                            <a:picLocks noChangeAspect="1"/>
                          </pic:cNvPicPr>
                        </pic:nvPicPr>
                        <pic:blipFill>
                          <a:blip r:embed="rId17"/>
                          <a:stretch>
                            <a:fillRect/>
                          </a:stretch>
                        </pic:blipFill>
                        <pic:spPr>
                          <a:xfrm>
                            <a:off x="0" y="0"/>
                            <a:ext cx="1238250" cy="666750"/>
                          </a:xfrm>
                          <a:prstGeom prst="rect">
                            <a:avLst/>
                          </a:prstGeom>
                          <a:noFill/>
                          <a:ln>
                            <a:noFill/>
                          </a:ln>
                        </pic:spPr>
                      </pic:pic>
                    </a:graphicData>
                  </a:graphic>
                </wp:anchor>
              </w:drawing>
            </w:r>
            <w:r>
              <w:rPr>
                <w:rFonts w:hint="default" w:ascii="Times New Roman" w:hAnsi="Times New Roman" w:cs="Times New Roman"/>
                <w:color w:val="auto"/>
              </w:rPr>
              <w:tab/>
            </w:r>
            <w:r>
              <w:rPr>
                <w:rFonts w:hint="default" w:ascii="Times New Roman" w:hAnsi="Times New Roman" w:cs="Times New Roman"/>
                <w:color w:val="auto"/>
              </w:rPr>
              <w:tab/>
            </w:r>
            <w:r>
              <w:rPr>
                <w:rFonts w:hint="default" w:ascii="Times New Roman" w:hAnsi="Times New Roman" w:cs="Times New Roman"/>
                <w:color w:val="auto"/>
              </w:rPr>
              <w:tab/>
            </w:r>
            <w:r>
              <w:rPr>
                <w:rFonts w:hint="default" w:ascii="Times New Roman" w:hAnsi="Times New Roman" w:cs="Times New Roman"/>
                <w:color w:val="auto"/>
              </w:rPr>
              <w:tab/>
            </w:r>
            <w:r>
              <w:rPr>
                <w:rFonts w:hint="default" w:ascii="Times New Roman" w:hAnsi="Times New Roman" w:cs="Times New Roman"/>
                <w:color w:val="auto"/>
              </w:rPr>
              <w:tab/>
            </w:r>
            <w:r>
              <w:rPr>
                <w:rFonts w:hint="default" w:ascii="Times New Roman" w:hAnsi="Times New Roman" w:cs="Times New Roman"/>
                <w:color w:val="auto"/>
              </w:rPr>
              <w:tab/>
            </w:r>
            <w:r>
              <w:rPr>
                <w:rFonts w:hint="default" w:ascii="Times New Roman" w:hAnsi="Times New Roman" w:cs="Times New Roman"/>
                <w:color w:val="auto"/>
              </w:rPr>
              <w:tab/>
            </w:r>
            <w:r>
              <w:rPr>
                <w:rFonts w:hint="default" w:ascii="Times New Roman" w:hAnsi="Times New Roman" w:cs="Times New Roman"/>
                <w:color w:val="auto"/>
              </w:rPr>
              <w:t xml:space="preserve">                                  </w:t>
            </w:r>
            <w:r>
              <w:rPr>
                <w:rFonts w:hint="default" w:ascii="Times New Roman" w:hAnsi="Times New Roman" w:cs="Times New Roman"/>
                <w:color w:val="auto"/>
              </w:rPr>
              <w:tab/>
            </w:r>
            <w:r>
              <w:rPr>
                <w:rFonts w:hint="default" w:ascii="Times New Roman" w:hAnsi="Times New Roman" w:cs="Times New Roman"/>
                <w:color w:val="auto"/>
              </w:rPr>
              <w:tab/>
            </w:r>
            <w:r>
              <w:rPr>
                <w:rFonts w:hint="default" w:ascii="Times New Roman" w:hAnsi="Times New Roman" w:cs="Times New Roman"/>
                <w:color w:val="auto"/>
              </w:rPr>
              <w:t>………（11-5）</w:t>
            </w:r>
          </w:p>
          <w:p>
            <w:pPr>
              <w:pStyle w:val="47"/>
              <w:rPr>
                <w:rFonts w:hint="default" w:ascii="Times New Roman" w:hAnsi="Times New Roman" w:cs="Times New Roman"/>
                <w:color w:val="auto"/>
              </w:rPr>
            </w:pPr>
            <w:r>
              <w:rPr>
                <w:rFonts w:hint="default" w:ascii="Times New Roman" w:hAnsi="Times New Roman" w:cs="Times New Roman"/>
                <w:color w:val="auto"/>
              </w:rPr>
              <w:t>式中：</w:t>
            </w:r>
            <w:r>
              <w:rPr>
                <w:rFonts w:hint="default" w:ascii="Times New Roman" w:hAnsi="Times New Roman" w:cs="Times New Roman"/>
                <w:color w:val="auto"/>
              </w:rPr>
              <w:tab/>
            </w:r>
            <m:oMath>
              <m:sSub>
                <m:sSubPr>
                  <m:ctrlPr>
                    <w:rPr>
                      <w:rFonts w:hint="default" w:ascii="Cambria Math" w:hAnsi="Cambria Math" w:cs="Times New Roman"/>
                      <w:color w:val="auto"/>
                    </w:rPr>
                  </m:ctrlPr>
                </m:sSubPr>
                <m:e>
                  <m:acc>
                    <m:accPr>
                      <m:chr m:val="̇"/>
                      <m:ctrlPr>
                        <w:rPr>
                          <w:rFonts w:hint="default" w:ascii="Cambria Math" w:hAnsi="Cambria Math" w:cs="Times New Roman"/>
                          <w:color w:val="auto"/>
                        </w:rPr>
                      </m:ctrlPr>
                    </m:accPr>
                    <m:e>
                      <m:r>
                        <m:rPr/>
                        <w:rPr>
                          <w:rFonts w:hint="default" w:ascii="Cambria Math" w:hAnsi="Cambria Math" w:cs="Times New Roman"/>
                          <w:color w:val="auto"/>
                        </w:rPr>
                        <m:t>H</m:t>
                      </m:r>
                      <m:ctrlPr>
                        <w:rPr>
                          <w:rFonts w:hint="default" w:ascii="Cambria Math" w:hAnsi="Cambria Math" w:cs="Times New Roman"/>
                          <w:color w:val="auto"/>
                        </w:rPr>
                      </m:ctrlPr>
                    </m:e>
                  </m:acc>
                  <m:ctrlPr>
                    <w:rPr>
                      <w:rFonts w:hint="default" w:ascii="Cambria Math" w:hAnsi="Cambria Math" w:cs="Times New Roman"/>
                      <w:color w:val="auto"/>
                    </w:rPr>
                  </m:ctrlPr>
                </m:e>
                <m:sub>
                  <m:r>
                    <m:rPr/>
                    <w:rPr>
                      <w:rFonts w:hint="default" w:ascii="Cambria Math" w:hAnsi="Cambria Math" w:cs="Times New Roman"/>
                      <w:color w:val="auto"/>
                    </w:rPr>
                    <m:t>c</m:t>
                  </m:r>
                  <m:ctrlPr>
                    <w:rPr>
                      <w:rFonts w:hint="default" w:ascii="Cambria Math" w:hAnsi="Cambria Math" w:cs="Times New Roman"/>
                      <w:color w:val="auto"/>
                    </w:rPr>
                  </m:ctrlPr>
                </m:sub>
              </m:sSub>
            </m:oMath>
            <w:r>
              <w:rPr>
                <w:rFonts w:hint="default" w:ascii="Times New Roman" w:hAnsi="Times New Roman" w:cs="Times New Roman"/>
                <w:color w:val="auto"/>
              </w:rPr>
              <w:t>——剂量率参考控制水平，单位为微希每小时（μSv/h）；</w:t>
            </w:r>
          </w:p>
          <w:p>
            <w:pPr>
              <w:pStyle w:val="47"/>
              <w:rPr>
                <w:rFonts w:hint="default" w:ascii="Times New Roman" w:hAnsi="Times New Roman" w:cs="Times New Roman"/>
                <w:color w:val="auto"/>
              </w:rPr>
            </w:pPr>
            <w:r>
              <w:rPr>
                <w:rFonts w:hint="default" w:ascii="Times New Roman" w:hAnsi="Times New Roman" w:cs="Times New Roman"/>
                <w:color w:val="auto"/>
              </w:rPr>
              <w:tab/>
            </w:r>
            <w:r>
              <w:rPr>
                <w:rFonts w:hint="default" w:ascii="Times New Roman" w:hAnsi="Times New Roman" w:cs="Times New Roman"/>
                <w:color w:val="auto"/>
              </w:rPr>
              <w:tab/>
            </w:r>
            <m:oMath>
              <m:sSub>
                <m:sSubPr>
                  <m:ctrlPr>
                    <w:rPr>
                      <w:rFonts w:hint="default" w:ascii="Cambria Math" w:hAnsi="Cambria Math" w:cs="Times New Roman"/>
                      <w:color w:val="auto"/>
                    </w:rPr>
                  </m:ctrlPr>
                </m:sSubPr>
                <m:e>
                  <m:acc>
                    <m:accPr>
                      <m:chr m:val="̇"/>
                      <m:ctrlPr>
                        <w:rPr>
                          <w:rFonts w:hint="default" w:ascii="Cambria Math" w:hAnsi="Cambria Math" w:cs="Times New Roman"/>
                          <w:color w:val="auto"/>
                        </w:rPr>
                      </m:ctrlPr>
                    </m:accPr>
                    <m:e>
                      <m:r>
                        <m:rPr/>
                        <w:rPr>
                          <w:rFonts w:hint="default" w:ascii="Cambria Math" w:hAnsi="Cambria Math" w:cs="Times New Roman"/>
                          <w:color w:val="auto"/>
                        </w:rPr>
                        <m:t>H</m:t>
                      </m:r>
                      <m:ctrlPr>
                        <w:rPr>
                          <w:rFonts w:hint="default" w:ascii="Cambria Math" w:hAnsi="Cambria Math" w:cs="Times New Roman"/>
                          <w:color w:val="auto"/>
                        </w:rPr>
                      </m:ctrlPr>
                    </m:e>
                  </m:acc>
                  <m:ctrlPr>
                    <w:rPr>
                      <w:rFonts w:hint="default" w:ascii="Cambria Math" w:hAnsi="Cambria Math" w:cs="Times New Roman"/>
                      <w:color w:val="auto"/>
                    </w:rPr>
                  </m:ctrlPr>
                </m:e>
                <m:sub>
                  <m:r>
                    <m:rPr/>
                    <w:rPr>
                      <w:rFonts w:hint="default" w:ascii="Cambria Math" w:hAnsi="Cambria Math" w:cs="Times New Roman"/>
                      <w:color w:val="auto"/>
                    </w:rPr>
                    <m:t>L</m:t>
                  </m:r>
                  <m:ctrlPr>
                    <w:rPr>
                      <w:rFonts w:hint="default" w:ascii="Cambria Math" w:hAnsi="Cambria Math" w:cs="Times New Roman"/>
                      <w:color w:val="auto"/>
                    </w:rPr>
                  </m:ctrlPr>
                </m:sub>
              </m:sSub>
            </m:oMath>
            <w:r>
              <w:rPr>
                <w:rFonts w:hint="default" w:ascii="Times New Roman" w:hAnsi="Times New Roman" w:cs="Times New Roman"/>
                <w:color w:val="auto"/>
              </w:rPr>
              <w:t>——距靶点1m处X射线管组装体的泄漏辐射剂量率，单位为微希每小时（μSv/h）；</w:t>
            </w:r>
          </w:p>
          <w:p>
            <w:pPr>
              <w:pStyle w:val="47"/>
              <w:rPr>
                <w:rFonts w:hint="default" w:ascii="Times New Roman" w:hAnsi="Times New Roman" w:cs="Times New Roman"/>
                <w:color w:val="auto"/>
              </w:rPr>
            </w:pPr>
            <w:r>
              <w:rPr>
                <w:rFonts w:hint="default" w:ascii="Times New Roman" w:hAnsi="Times New Roman" w:cs="Times New Roman"/>
                <w:color w:val="auto"/>
              </w:rPr>
              <w:tab/>
            </w:r>
            <w:r>
              <w:rPr>
                <w:rFonts w:hint="default" w:ascii="Times New Roman" w:hAnsi="Times New Roman" w:cs="Times New Roman"/>
                <w:color w:val="auto"/>
              </w:rPr>
              <w:tab/>
            </w:r>
            <w:r>
              <w:rPr>
                <w:rFonts w:hint="default" w:ascii="Times New Roman" w:hAnsi="Times New Roman" w:cs="Times New Roman"/>
                <w:color w:val="auto"/>
              </w:rPr>
              <w:t>R——辐射源点（靶点）至关注点的距离，单位为米（m）。</w:t>
            </w:r>
          </w:p>
          <w:p>
            <w:pPr>
              <w:pStyle w:val="47"/>
              <w:rPr>
                <w:rFonts w:hint="default" w:ascii="Times New Roman" w:hAnsi="Times New Roman" w:cs="Times New Roman"/>
                <w:color w:val="auto"/>
              </w:rPr>
            </w:pPr>
            <w:r>
              <w:rPr>
                <w:rFonts w:hint="default" w:ascii="Times New Roman" w:hAnsi="Times New Roman" w:cs="Times New Roman"/>
                <w:color w:val="auto"/>
                <w:kern w:val="0"/>
              </w:rPr>
              <w:drawing>
                <wp:anchor distT="0" distB="0" distL="114300" distR="114300" simplePos="0" relativeHeight="251664384" behindDoc="0" locked="0" layoutInCell="1" allowOverlap="1">
                  <wp:simplePos x="0" y="0"/>
                  <wp:positionH relativeFrom="column">
                    <wp:posOffset>1790700</wp:posOffset>
                  </wp:positionH>
                  <wp:positionV relativeFrom="paragraph">
                    <wp:posOffset>654685</wp:posOffset>
                  </wp:positionV>
                  <wp:extent cx="1123950" cy="628650"/>
                  <wp:effectExtent l="0" t="0" r="0" b="0"/>
                  <wp:wrapNone/>
                  <wp:docPr id="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5"/>
                          <pic:cNvPicPr>
                            <a:picLocks noChangeAspect="1"/>
                          </pic:cNvPicPr>
                        </pic:nvPicPr>
                        <pic:blipFill>
                          <a:blip r:embed="rId18"/>
                          <a:stretch>
                            <a:fillRect/>
                          </a:stretch>
                        </pic:blipFill>
                        <pic:spPr>
                          <a:xfrm>
                            <a:off x="0" y="0"/>
                            <a:ext cx="1123950" cy="628650"/>
                          </a:xfrm>
                          <a:prstGeom prst="rect">
                            <a:avLst/>
                          </a:prstGeom>
                          <a:noFill/>
                          <a:ln>
                            <a:noFill/>
                          </a:ln>
                        </pic:spPr>
                      </pic:pic>
                    </a:graphicData>
                  </a:graphic>
                </wp:anchor>
              </w:drawing>
            </w:r>
            <w:r>
              <w:rPr>
                <w:rFonts w:hint="default" w:ascii="Times New Roman" w:hAnsi="Times New Roman" w:cs="Times New Roman"/>
                <w:color w:val="auto"/>
                <w:kern w:val="0"/>
              </w:rPr>
              <w:t>b</w:t>
            </w:r>
            <w:r>
              <w:rPr>
                <w:rFonts w:hint="default" w:ascii="Times New Roman" w:hAnsi="Times New Roman" w:cs="Times New Roman"/>
                <w:color w:val="auto"/>
              </w:rPr>
              <w:t>）在给定屏蔽物质厚度X时，相应的屏蔽透射因子B按式11-3计算，然后按式11-6计算泄漏辐射在关注点的剂量率</w:t>
            </w:r>
            <m:oMath>
              <m:acc>
                <m:accPr>
                  <m:chr m:val="̇"/>
                  <m:ctrlPr>
                    <w:rPr>
                      <w:rFonts w:hint="default" w:ascii="Cambria Math" w:hAnsi="Cambria Math" w:cs="Times New Roman"/>
                      <w:i/>
                      <w:iCs/>
                      <w:color w:val="auto"/>
                    </w:rPr>
                  </m:ctrlPr>
                </m:accPr>
                <m:e>
                  <m:r>
                    <m:rPr/>
                    <w:rPr>
                      <w:rFonts w:hint="default" w:ascii="Cambria Math" w:hAnsi="Cambria Math" w:cs="Times New Roman"/>
                      <w:color w:val="auto"/>
                    </w:rPr>
                    <m:t>H</m:t>
                  </m:r>
                  <m:ctrlPr>
                    <w:rPr>
                      <w:rFonts w:hint="default" w:ascii="Cambria Math" w:hAnsi="Cambria Math" w:cs="Times New Roman"/>
                      <w:i/>
                      <w:iCs/>
                      <w:color w:val="auto"/>
                    </w:rPr>
                  </m:ctrlPr>
                </m:e>
              </m:acc>
            </m:oMath>
            <w:r>
              <w:rPr>
                <w:rFonts w:hint="default" w:ascii="Times New Roman" w:hAnsi="Times New Roman" w:cs="Times New Roman"/>
                <w:color w:val="auto"/>
              </w:rPr>
              <w:t>单位为微希每小时（μSv/h）：</w:t>
            </w:r>
          </w:p>
          <w:p>
            <w:pPr>
              <w:pStyle w:val="47"/>
              <w:spacing w:before="312" w:beforeLines="100" w:after="312" w:afterLines="100"/>
              <w:rPr>
                <w:rFonts w:hint="default" w:ascii="Times New Roman" w:hAnsi="Times New Roman" w:cs="Times New Roman"/>
                <w:color w:val="auto"/>
              </w:rPr>
            </w:pPr>
            <w:r>
              <w:rPr>
                <w:rFonts w:hint="default" w:ascii="Times New Roman" w:hAnsi="Times New Roman" w:cs="Times New Roman"/>
                <w:color w:val="auto"/>
              </w:rPr>
              <w:tab/>
            </w:r>
            <w:r>
              <w:rPr>
                <w:rFonts w:hint="default" w:ascii="Times New Roman" w:hAnsi="Times New Roman" w:cs="Times New Roman"/>
                <w:color w:val="auto"/>
              </w:rPr>
              <w:tab/>
            </w:r>
            <w:r>
              <w:rPr>
                <w:rFonts w:hint="default" w:ascii="Times New Roman" w:hAnsi="Times New Roman" w:cs="Times New Roman"/>
                <w:color w:val="auto"/>
              </w:rPr>
              <w:tab/>
            </w:r>
            <w:r>
              <w:rPr>
                <w:rFonts w:hint="default" w:ascii="Times New Roman" w:hAnsi="Times New Roman" w:cs="Times New Roman"/>
                <w:color w:val="auto"/>
              </w:rPr>
              <w:tab/>
            </w:r>
            <w:r>
              <w:rPr>
                <w:rFonts w:hint="default" w:ascii="Times New Roman" w:hAnsi="Times New Roman" w:cs="Times New Roman"/>
                <w:color w:val="auto"/>
              </w:rPr>
              <w:tab/>
            </w:r>
            <w:r>
              <w:rPr>
                <w:rFonts w:hint="default" w:ascii="Times New Roman" w:hAnsi="Times New Roman" w:cs="Times New Roman"/>
                <w:color w:val="auto"/>
              </w:rPr>
              <w:tab/>
            </w:r>
            <w:r>
              <w:rPr>
                <w:rFonts w:hint="default" w:ascii="Times New Roman" w:hAnsi="Times New Roman" w:cs="Times New Roman"/>
                <w:color w:val="auto"/>
              </w:rPr>
              <w:tab/>
            </w:r>
            <w:r>
              <w:rPr>
                <w:rFonts w:hint="default" w:ascii="Times New Roman" w:hAnsi="Times New Roman" w:cs="Times New Roman"/>
                <w:color w:val="auto"/>
              </w:rPr>
              <w:tab/>
            </w:r>
            <w:r>
              <w:rPr>
                <w:rFonts w:hint="default" w:ascii="Times New Roman" w:hAnsi="Times New Roman" w:cs="Times New Roman"/>
                <w:color w:val="auto"/>
              </w:rPr>
              <w:tab/>
            </w:r>
            <w:r>
              <w:rPr>
                <w:rFonts w:hint="default" w:ascii="Times New Roman" w:hAnsi="Times New Roman" w:cs="Times New Roman"/>
                <w:color w:val="auto"/>
              </w:rPr>
              <w:t xml:space="preserve">                                 </w:t>
            </w:r>
            <w:r>
              <w:rPr>
                <w:rFonts w:hint="default" w:ascii="Times New Roman" w:hAnsi="Times New Roman" w:cs="Times New Roman"/>
                <w:color w:val="auto"/>
              </w:rPr>
              <w:tab/>
            </w:r>
            <w:r>
              <w:rPr>
                <w:rFonts w:hint="default" w:ascii="Times New Roman" w:hAnsi="Times New Roman" w:cs="Times New Roman"/>
                <w:color w:val="auto"/>
              </w:rPr>
              <w:t>………（11-6）</w:t>
            </w:r>
          </w:p>
          <w:p>
            <w:pPr>
              <w:pStyle w:val="47"/>
              <w:rPr>
                <w:rFonts w:hint="default" w:ascii="Times New Roman" w:hAnsi="Times New Roman" w:cs="Times New Roman"/>
                <w:color w:val="auto"/>
              </w:rPr>
            </w:pPr>
            <w:r>
              <w:rPr>
                <w:rFonts w:hint="default" w:ascii="Times New Roman" w:hAnsi="Times New Roman" w:cs="Times New Roman"/>
                <w:color w:val="auto"/>
              </w:rPr>
              <w:t>式中：</w:t>
            </w:r>
            <w:r>
              <w:rPr>
                <w:rFonts w:hint="default" w:ascii="Times New Roman" w:hAnsi="Times New Roman" w:cs="Times New Roman"/>
                <w:color w:val="auto"/>
              </w:rPr>
              <w:tab/>
            </w:r>
            <w:r>
              <w:rPr>
                <w:rFonts w:hint="default" w:ascii="Times New Roman" w:hAnsi="Times New Roman" w:cs="Times New Roman"/>
                <w:color w:val="auto"/>
              </w:rPr>
              <w:t>B——屏蔽透射因子；</w:t>
            </w:r>
          </w:p>
          <w:p>
            <w:pPr>
              <w:pStyle w:val="47"/>
              <w:rPr>
                <w:rFonts w:hint="default" w:ascii="Times New Roman" w:hAnsi="Times New Roman" w:cs="Times New Roman"/>
                <w:color w:val="auto"/>
              </w:rPr>
            </w:pPr>
            <w:r>
              <w:rPr>
                <w:rFonts w:hint="default" w:ascii="Times New Roman" w:hAnsi="Times New Roman" w:cs="Times New Roman"/>
                <w:color w:val="auto"/>
              </w:rPr>
              <w:tab/>
            </w:r>
            <w:r>
              <w:rPr>
                <w:rFonts w:hint="default" w:ascii="Times New Roman" w:hAnsi="Times New Roman" w:cs="Times New Roman"/>
                <w:color w:val="auto"/>
              </w:rPr>
              <w:tab/>
            </w:r>
            <w:r>
              <w:rPr>
                <w:rFonts w:hint="default" w:ascii="Times New Roman" w:hAnsi="Times New Roman" w:cs="Times New Roman"/>
                <w:color w:val="auto"/>
              </w:rPr>
              <w:t>R——辐射源点（靶点）至关注点的距离，单位为米（m）；</w:t>
            </w:r>
          </w:p>
          <w:p>
            <w:pPr>
              <w:pStyle w:val="47"/>
              <w:rPr>
                <w:rFonts w:hint="default" w:ascii="Times New Roman" w:hAnsi="Times New Roman" w:cs="Times New Roman"/>
                <w:color w:val="auto"/>
              </w:rPr>
            </w:pPr>
            <w:r>
              <w:rPr>
                <w:rFonts w:hint="default" w:ascii="Times New Roman" w:hAnsi="Times New Roman" w:cs="Times New Roman"/>
                <w:color w:val="auto"/>
              </w:rPr>
              <w:tab/>
            </w:r>
            <w:r>
              <w:rPr>
                <w:rFonts w:hint="default" w:ascii="Times New Roman" w:hAnsi="Times New Roman" w:cs="Times New Roman"/>
                <w:color w:val="auto"/>
              </w:rPr>
              <w:tab/>
            </w:r>
            <m:oMath>
              <m:sSub>
                <m:sSubPr>
                  <m:ctrlPr>
                    <w:rPr>
                      <w:rFonts w:hint="default" w:ascii="Cambria Math" w:hAnsi="Cambria Math" w:cs="Times New Roman"/>
                      <w:color w:val="auto"/>
                    </w:rPr>
                  </m:ctrlPr>
                </m:sSubPr>
                <m:e>
                  <m:acc>
                    <m:accPr>
                      <m:chr m:val="̇"/>
                      <m:ctrlPr>
                        <w:rPr>
                          <w:rFonts w:hint="default" w:ascii="Cambria Math" w:hAnsi="Cambria Math" w:cs="Times New Roman"/>
                          <w:color w:val="auto"/>
                        </w:rPr>
                      </m:ctrlPr>
                    </m:accPr>
                    <m:e>
                      <m:r>
                        <m:rPr/>
                        <w:rPr>
                          <w:rFonts w:hint="default" w:ascii="Cambria Math" w:hAnsi="Cambria Math" w:cs="Times New Roman"/>
                          <w:color w:val="auto"/>
                        </w:rPr>
                        <m:t>H</m:t>
                      </m:r>
                      <m:ctrlPr>
                        <w:rPr>
                          <w:rFonts w:hint="default" w:ascii="Cambria Math" w:hAnsi="Cambria Math" w:cs="Times New Roman"/>
                          <w:color w:val="auto"/>
                        </w:rPr>
                      </m:ctrlPr>
                    </m:e>
                  </m:acc>
                  <m:ctrlPr>
                    <w:rPr>
                      <w:rFonts w:hint="default" w:ascii="Cambria Math" w:hAnsi="Cambria Math" w:cs="Times New Roman"/>
                      <w:color w:val="auto"/>
                    </w:rPr>
                  </m:ctrlPr>
                </m:e>
                <m:sub>
                  <m:r>
                    <m:rPr/>
                    <w:rPr>
                      <w:rFonts w:hint="default" w:ascii="Cambria Math" w:hAnsi="Cambria Math" w:cs="Times New Roman"/>
                      <w:color w:val="auto"/>
                    </w:rPr>
                    <m:t>L</m:t>
                  </m:r>
                  <m:ctrlPr>
                    <w:rPr>
                      <w:rFonts w:hint="default" w:ascii="Cambria Math" w:hAnsi="Cambria Math" w:cs="Times New Roman"/>
                      <w:color w:val="auto"/>
                    </w:rPr>
                  </m:ctrlPr>
                </m:sub>
              </m:sSub>
            </m:oMath>
            <w:r>
              <w:rPr>
                <w:rFonts w:hint="default" w:ascii="Times New Roman" w:hAnsi="Times New Roman" w:cs="Times New Roman"/>
                <w:color w:val="auto"/>
              </w:rPr>
              <w:t>——距靶点1m处X射线管组装体的泄漏辐射剂量率，单位为微希每小时（μSv/h）；</w:t>
            </w:r>
          </w:p>
          <w:p>
            <w:pPr>
              <w:pStyle w:val="42"/>
              <w:rPr>
                <w:rFonts w:hint="default" w:ascii="Times New Roman" w:hAnsi="Times New Roman" w:cs="Times New Roman"/>
                <w:color w:val="auto"/>
              </w:rPr>
            </w:pPr>
            <w:r>
              <w:rPr>
                <w:rFonts w:hint="default" w:ascii="Times New Roman" w:hAnsi="Times New Roman" w:cs="Times New Roman"/>
                <w:color w:val="auto"/>
              </w:rPr>
              <w:t>4）散射辐射屏蔽</w:t>
            </w:r>
          </w:p>
          <w:p>
            <w:pPr>
              <w:pStyle w:val="47"/>
              <w:rPr>
                <w:rFonts w:hint="default" w:ascii="Times New Roman" w:hAnsi="Times New Roman" w:cs="Times New Roman"/>
                <w:color w:val="auto"/>
              </w:rPr>
            </w:pPr>
            <w:r>
              <w:rPr>
                <w:rFonts w:hint="default" w:ascii="Times New Roman" w:hAnsi="Times New Roman" w:cs="Times New Roman"/>
                <w:color w:val="auto"/>
              </w:rPr>
              <w:t>a）关注点达到剂量率参考水平</w:t>
            </w:r>
            <m:oMath>
              <m:sSub>
                <m:sSubPr>
                  <m:ctrlPr>
                    <w:rPr>
                      <w:rFonts w:hint="default" w:ascii="Cambria Math" w:hAnsi="Cambria Math" w:cs="Times New Roman"/>
                      <w:color w:val="auto"/>
                    </w:rPr>
                  </m:ctrlPr>
                </m:sSubPr>
                <m:e>
                  <m:acc>
                    <m:accPr>
                      <m:chr m:val="̇"/>
                      <m:ctrlPr>
                        <w:rPr>
                          <w:rFonts w:hint="default" w:ascii="Cambria Math" w:hAnsi="Cambria Math" w:cs="Times New Roman"/>
                          <w:color w:val="auto"/>
                        </w:rPr>
                      </m:ctrlPr>
                    </m:accPr>
                    <m:e>
                      <m:r>
                        <m:rPr/>
                        <w:rPr>
                          <w:rFonts w:hint="default" w:ascii="Cambria Math" w:hAnsi="Cambria Math" w:cs="Times New Roman"/>
                          <w:color w:val="auto"/>
                        </w:rPr>
                        <m:t>H</m:t>
                      </m:r>
                      <m:ctrlPr>
                        <w:rPr>
                          <w:rFonts w:hint="default" w:ascii="Cambria Math" w:hAnsi="Cambria Math" w:cs="Times New Roman"/>
                          <w:color w:val="auto"/>
                        </w:rPr>
                      </m:ctrlPr>
                    </m:e>
                  </m:acc>
                  <m:ctrlPr>
                    <w:rPr>
                      <w:rFonts w:hint="default" w:ascii="Cambria Math" w:hAnsi="Cambria Math" w:cs="Times New Roman"/>
                      <w:color w:val="auto"/>
                    </w:rPr>
                  </m:ctrlPr>
                </m:e>
                <m:sub>
                  <m:r>
                    <m:rPr/>
                    <w:rPr>
                      <w:rFonts w:hint="default" w:ascii="Cambria Math" w:hAnsi="Cambria Math" w:cs="Times New Roman"/>
                      <w:color w:val="auto"/>
                    </w:rPr>
                    <m:t>c</m:t>
                  </m:r>
                  <m:ctrlPr>
                    <w:rPr>
                      <w:rFonts w:hint="default" w:ascii="Cambria Math" w:hAnsi="Cambria Math" w:cs="Times New Roman"/>
                      <w:color w:val="auto"/>
                    </w:rPr>
                  </m:ctrlPr>
                </m:sub>
              </m:sSub>
            </m:oMath>
            <w:r>
              <w:rPr>
                <w:rFonts w:hint="default" w:ascii="Times New Roman" w:hAnsi="Times New Roman" w:cs="Times New Roman"/>
                <w:color w:val="auto"/>
                <w:kern w:val="0"/>
              </w:rPr>
              <w:t>时，屏蔽设计所需的屏蔽透射因子B按式11-7计算。然后按式11-4计算出所需的屏蔽物质厚度X。</w:t>
            </w:r>
          </w:p>
          <w:p>
            <w:pPr>
              <w:pStyle w:val="47"/>
              <w:spacing w:before="312" w:beforeLines="100" w:after="312" w:afterLines="100"/>
              <w:rPr>
                <w:rFonts w:hint="default" w:ascii="Times New Roman" w:hAnsi="Times New Roman" w:cs="Times New Roman"/>
                <w:color w:val="auto"/>
              </w:rPr>
            </w:pPr>
            <w:r>
              <w:rPr>
                <w:rFonts w:hint="default" w:ascii="Times New Roman" w:hAnsi="Times New Roman" w:cs="Times New Roman"/>
                <w:color w:val="auto"/>
              </w:rPr>
              <w:drawing>
                <wp:anchor distT="0" distB="0" distL="114300" distR="114300" simplePos="0" relativeHeight="251665408" behindDoc="0" locked="0" layoutInCell="1" allowOverlap="1">
                  <wp:simplePos x="0" y="0"/>
                  <wp:positionH relativeFrom="column">
                    <wp:posOffset>1313180</wp:posOffset>
                  </wp:positionH>
                  <wp:positionV relativeFrom="paragraph">
                    <wp:posOffset>66040</wp:posOffset>
                  </wp:positionV>
                  <wp:extent cx="1581150" cy="514350"/>
                  <wp:effectExtent l="0" t="0" r="0" b="0"/>
                  <wp:wrapNone/>
                  <wp:docPr id="7"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8"/>
                          <pic:cNvPicPr>
                            <a:picLocks noChangeAspect="1"/>
                          </pic:cNvPicPr>
                        </pic:nvPicPr>
                        <pic:blipFill>
                          <a:blip r:embed="rId19"/>
                          <a:stretch>
                            <a:fillRect/>
                          </a:stretch>
                        </pic:blipFill>
                        <pic:spPr>
                          <a:xfrm>
                            <a:off x="0" y="0"/>
                            <a:ext cx="1581150" cy="514350"/>
                          </a:xfrm>
                          <a:prstGeom prst="rect">
                            <a:avLst/>
                          </a:prstGeom>
                          <a:noFill/>
                          <a:ln>
                            <a:noFill/>
                          </a:ln>
                        </pic:spPr>
                      </pic:pic>
                    </a:graphicData>
                  </a:graphic>
                </wp:anchor>
              </w:drawing>
            </w:r>
            <w:r>
              <w:rPr>
                <w:rFonts w:hint="default" w:ascii="Times New Roman" w:hAnsi="Times New Roman" w:cs="Times New Roman"/>
                <w:color w:val="auto"/>
              </w:rPr>
              <w:tab/>
            </w:r>
            <w:r>
              <w:rPr>
                <w:rFonts w:hint="default" w:ascii="Times New Roman" w:hAnsi="Times New Roman" w:cs="Times New Roman"/>
                <w:color w:val="auto"/>
              </w:rPr>
              <w:tab/>
            </w:r>
            <w:r>
              <w:rPr>
                <w:rFonts w:hint="default" w:ascii="Times New Roman" w:hAnsi="Times New Roman" w:cs="Times New Roman"/>
                <w:color w:val="auto"/>
              </w:rPr>
              <w:tab/>
            </w:r>
            <w:r>
              <w:rPr>
                <w:rFonts w:hint="default" w:ascii="Times New Roman" w:hAnsi="Times New Roman" w:cs="Times New Roman"/>
                <w:color w:val="auto"/>
              </w:rPr>
              <w:tab/>
            </w:r>
            <w:r>
              <w:rPr>
                <w:rFonts w:hint="default" w:ascii="Times New Roman" w:hAnsi="Times New Roman" w:cs="Times New Roman"/>
                <w:color w:val="auto"/>
              </w:rPr>
              <w:tab/>
            </w:r>
            <w:r>
              <w:rPr>
                <w:rFonts w:hint="default" w:ascii="Times New Roman" w:hAnsi="Times New Roman" w:cs="Times New Roman"/>
                <w:color w:val="auto"/>
              </w:rPr>
              <w:tab/>
            </w:r>
            <w:r>
              <w:rPr>
                <w:rFonts w:hint="default" w:ascii="Times New Roman" w:hAnsi="Times New Roman" w:cs="Times New Roman"/>
                <w:color w:val="auto"/>
              </w:rPr>
              <w:tab/>
            </w:r>
            <w:r>
              <w:rPr>
                <w:rFonts w:hint="default" w:ascii="Times New Roman" w:hAnsi="Times New Roman" w:cs="Times New Roman"/>
                <w:color w:val="auto"/>
              </w:rPr>
              <w:tab/>
            </w:r>
            <w:r>
              <w:rPr>
                <w:rFonts w:hint="default" w:ascii="Times New Roman" w:hAnsi="Times New Roman" w:cs="Times New Roman"/>
                <w:color w:val="auto"/>
              </w:rPr>
              <w:tab/>
            </w:r>
            <w:r>
              <w:rPr>
                <w:rFonts w:hint="default" w:ascii="Times New Roman" w:hAnsi="Times New Roman" w:cs="Times New Roman"/>
                <w:color w:val="auto"/>
              </w:rPr>
              <w:tab/>
            </w:r>
            <w:r>
              <w:rPr>
                <w:rFonts w:hint="default" w:ascii="Times New Roman" w:hAnsi="Times New Roman" w:cs="Times New Roman"/>
                <w:color w:val="auto"/>
              </w:rPr>
              <w:t xml:space="preserve">                                 ………（11-7）</w:t>
            </w:r>
          </w:p>
          <w:p>
            <w:pPr>
              <w:pStyle w:val="47"/>
              <w:rPr>
                <w:rFonts w:hint="default" w:ascii="Times New Roman" w:hAnsi="Times New Roman" w:cs="Times New Roman"/>
                <w:color w:val="auto"/>
              </w:rPr>
            </w:pPr>
            <w:r>
              <w:rPr>
                <w:rFonts w:hint="default" w:ascii="Times New Roman" w:hAnsi="Times New Roman" w:cs="Times New Roman"/>
                <w:color w:val="auto"/>
              </w:rPr>
              <w:t>式中：</w:t>
            </w:r>
            <w:r>
              <w:rPr>
                <w:rFonts w:hint="default" w:ascii="Times New Roman" w:hAnsi="Times New Roman" w:cs="Times New Roman"/>
                <w:color w:val="auto"/>
              </w:rPr>
              <w:tab/>
            </w:r>
            <w:r>
              <w:rPr>
                <w:rFonts w:hint="default" w:ascii="Times New Roman" w:hAnsi="Times New Roman" w:cs="Times New Roman"/>
                <w:color w:val="auto"/>
              </w:rPr>
              <w:t>R</w:t>
            </w:r>
            <w:r>
              <w:rPr>
                <w:rFonts w:hint="default" w:ascii="Times New Roman" w:hAnsi="Times New Roman" w:cs="Times New Roman"/>
                <w:color w:val="auto"/>
                <w:vertAlign w:val="subscript"/>
              </w:rPr>
              <w:t>0</w:t>
            </w:r>
            <w:r>
              <w:rPr>
                <w:rFonts w:hint="default" w:ascii="Times New Roman" w:hAnsi="Times New Roman" w:cs="Times New Roman"/>
                <w:color w:val="auto"/>
              </w:rPr>
              <w:t>——辐射源点（靶点）至探伤工件的距离，单位为米（m）；</w:t>
            </w:r>
          </w:p>
          <w:p>
            <w:pPr>
              <w:pStyle w:val="47"/>
              <w:rPr>
                <w:rFonts w:hint="default" w:ascii="Times New Roman" w:hAnsi="Times New Roman" w:cs="Times New Roman"/>
                <w:color w:val="auto"/>
              </w:rPr>
            </w:pPr>
            <w:r>
              <w:rPr>
                <w:rFonts w:hint="default" w:ascii="Times New Roman" w:hAnsi="Times New Roman" w:cs="Times New Roman"/>
                <w:color w:val="auto"/>
              </w:rPr>
              <w:t>I——X射线探伤装置在最高管电压下常用的最大管电流；单位为（mA）；</w:t>
            </w:r>
          </w:p>
          <w:p>
            <w:pPr>
              <w:pStyle w:val="47"/>
              <w:rPr>
                <w:rFonts w:hint="default" w:ascii="Times New Roman" w:hAnsi="Times New Roman" w:cs="Times New Roman"/>
                <w:color w:val="auto"/>
              </w:rPr>
            </w:pPr>
            <w:r>
              <w:rPr>
                <w:rFonts w:hint="default" w:ascii="Times New Roman" w:hAnsi="Times New Roman" w:cs="Times New Roman"/>
                <w:color w:val="auto"/>
              </w:rPr>
              <w:tab/>
            </w:r>
            <w:r>
              <w:rPr>
                <w:rFonts w:hint="default" w:ascii="Times New Roman" w:hAnsi="Times New Roman" w:cs="Times New Roman"/>
                <w:color w:val="auto"/>
              </w:rPr>
              <w:t>Rs——散射体至关注点的距离，单位为米（m））；</w:t>
            </w:r>
          </w:p>
          <w:p>
            <w:pPr>
              <w:pStyle w:val="47"/>
              <w:rPr>
                <w:rFonts w:hint="default" w:ascii="Times New Roman" w:hAnsi="Times New Roman" w:cs="Times New Roman"/>
                <w:color w:val="auto"/>
              </w:rPr>
            </w:pPr>
            <w:r>
              <w:rPr>
                <w:rFonts w:hint="default" w:ascii="Times New Roman" w:hAnsi="Times New Roman" w:cs="Times New Roman"/>
                <w:color w:val="auto"/>
              </w:rPr>
              <w:tab/>
            </w:r>
            <w:r>
              <w:rPr>
                <w:rFonts w:hint="default" w:ascii="Times New Roman" w:hAnsi="Times New Roman" w:cs="Times New Roman"/>
                <w:color w:val="auto"/>
              </w:rPr>
              <w:t>F——R</w:t>
            </w:r>
            <w:r>
              <w:rPr>
                <w:rFonts w:hint="default" w:ascii="Times New Roman" w:hAnsi="Times New Roman" w:cs="Times New Roman"/>
                <w:color w:val="auto"/>
                <w:sz w:val="16"/>
                <w:szCs w:val="16"/>
              </w:rPr>
              <w:t>O</w:t>
            </w:r>
            <w:r>
              <w:rPr>
                <w:rFonts w:hint="default" w:ascii="Times New Roman" w:hAnsi="Times New Roman" w:cs="Times New Roman"/>
                <w:color w:val="auto"/>
              </w:rPr>
              <w:t>处的辐射野面积，单位为平方米（m</w:t>
            </w:r>
            <w:r>
              <w:rPr>
                <w:rFonts w:hint="default" w:ascii="Times New Roman" w:hAnsi="Times New Roman" w:cs="Times New Roman"/>
                <w:color w:val="auto"/>
                <w:sz w:val="16"/>
                <w:szCs w:val="16"/>
                <w:vertAlign w:val="superscript"/>
              </w:rPr>
              <w:t>2</w:t>
            </w:r>
            <w:r>
              <w:rPr>
                <w:rFonts w:hint="default" w:ascii="Times New Roman" w:hAnsi="Times New Roman" w:cs="Times New Roman"/>
                <w:color w:val="auto"/>
              </w:rPr>
              <w:t>）</w:t>
            </w:r>
          </w:p>
          <w:p>
            <w:pPr>
              <w:pStyle w:val="47"/>
              <w:rPr>
                <w:rFonts w:hint="default" w:ascii="Times New Roman" w:hAnsi="Times New Roman" w:cs="Times New Roman"/>
                <w:color w:val="auto"/>
              </w:rPr>
            </w:pPr>
            <w:r>
              <w:rPr>
                <w:rFonts w:hint="default" w:ascii="Times New Roman" w:hAnsi="Times New Roman" w:cs="Times New Roman"/>
                <w:color w:val="auto"/>
              </w:rPr>
              <w:tab/>
            </w:r>
            <w:r>
              <w:rPr>
                <w:rFonts w:hint="default" w:ascii="Times New Roman" w:hAnsi="Times New Roman" w:cs="Times New Roman"/>
                <w:color w:val="auto"/>
              </w:rPr>
              <w:t>α——散射因子，入射辐射被单位面积（1m</w:t>
            </w:r>
            <w:r>
              <w:rPr>
                <w:rFonts w:hint="default" w:ascii="Times New Roman" w:hAnsi="Times New Roman" w:cs="Times New Roman"/>
                <w:color w:val="auto"/>
                <w:vertAlign w:val="superscript"/>
              </w:rPr>
              <w:t>2</w:t>
            </w:r>
            <w:r>
              <w:rPr>
                <w:rFonts w:hint="default" w:ascii="Times New Roman" w:hAnsi="Times New Roman" w:cs="Times New Roman"/>
                <w:color w:val="auto"/>
              </w:rPr>
              <w:t>）散射体散射到距其1m处的散射辐射剂量率与该面积上的入射辐射剂量率的比；</w:t>
            </w:r>
          </w:p>
          <w:p>
            <w:pPr>
              <w:pStyle w:val="47"/>
              <w:rPr>
                <w:rFonts w:hint="default" w:ascii="Times New Roman" w:hAnsi="Times New Roman" w:cs="Times New Roman"/>
                <w:color w:val="auto"/>
              </w:rPr>
            </w:pPr>
            <w:r>
              <w:rPr>
                <w:rFonts w:hint="default" w:ascii="Times New Roman" w:hAnsi="Times New Roman" w:cs="Times New Roman"/>
                <w:color w:val="auto"/>
              </w:rPr>
              <w:tab/>
            </w:r>
            <w:r>
              <w:rPr>
                <w:rFonts w:hint="default" w:ascii="Times New Roman" w:hAnsi="Times New Roman" w:cs="Times New Roman"/>
                <w:i/>
                <w:color w:val="auto"/>
              </w:rPr>
              <w:t>H</w:t>
            </w:r>
            <w:r>
              <w:rPr>
                <w:rFonts w:hint="default" w:ascii="Times New Roman" w:hAnsi="Times New Roman" w:cs="Times New Roman"/>
                <w:i/>
                <w:color w:val="auto"/>
                <w:vertAlign w:val="subscript"/>
              </w:rPr>
              <w:t>0</w:t>
            </w:r>
            <w:r>
              <w:rPr>
                <w:rFonts w:hint="default" w:ascii="Times New Roman" w:hAnsi="Times New Roman" w:cs="Times New Roman"/>
                <w:color w:val="auto"/>
              </w:rPr>
              <w:t>——距离辐射原点1m处的输出量，μSv·m</w:t>
            </w:r>
            <w:r>
              <w:rPr>
                <w:rFonts w:hint="default" w:ascii="Times New Roman" w:hAnsi="Times New Roman" w:cs="Times New Roman"/>
                <w:color w:val="auto"/>
                <w:vertAlign w:val="superscript"/>
              </w:rPr>
              <w:t>2</w:t>
            </w:r>
            <w:r>
              <w:rPr>
                <w:rFonts w:hint="default" w:ascii="Times New Roman" w:hAnsi="Times New Roman" w:cs="Times New Roman"/>
                <w:color w:val="auto"/>
              </w:rPr>
              <w:t>/（mA·h），以mSv·m</w:t>
            </w:r>
            <w:r>
              <w:rPr>
                <w:rFonts w:hint="default" w:ascii="Times New Roman" w:hAnsi="Times New Roman" w:cs="Times New Roman"/>
                <w:color w:val="auto"/>
                <w:vertAlign w:val="superscript"/>
              </w:rPr>
              <w:t>2</w:t>
            </w:r>
            <w:r>
              <w:rPr>
                <w:rFonts w:hint="default" w:ascii="Times New Roman" w:hAnsi="Times New Roman" w:cs="Times New Roman"/>
                <w:color w:val="auto"/>
              </w:rPr>
              <w:t>/（mA·min）为单位的值乘以6×10</w:t>
            </w:r>
            <w:r>
              <w:rPr>
                <w:rFonts w:hint="default" w:ascii="Times New Roman" w:hAnsi="Times New Roman" w:cs="Times New Roman"/>
                <w:color w:val="auto"/>
                <w:vertAlign w:val="superscript"/>
              </w:rPr>
              <w:t>4</w:t>
            </w:r>
            <w:r>
              <w:rPr>
                <w:rFonts w:hint="default" w:ascii="Times New Roman" w:hAnsi="Times New Roman" w:cs="Times New Roman"/>
                <w:color w:val="auto"/>
              </w:rPr>
              <w:t>；</w:t>
            </w:r>
          </w:p>
          <w:p>
            <w:pPr>
              <w:pStyle w:val="47"/>
              <w:rPr>
                <w:rFonts w:hint="default" w:ascii="Times New Roman" w:hAnsi="Times New Roman" w:cs="Times New Roman"/>
                <w:color w:val="auto"/>
              </w:rPr>
            </w:pPr>
            <w:r>
              <w:rPr>
                <w:rFonts w:hint="default" w:ascii="Times New Roman" w:hAnsi="Times New Roman" w:cs="Times New Roman"/>
                <w:color w:val="auto"/>
              </w:rPr>
              <w:tab/>
            </w:r>
            <m:oMath>
              <m:f>
                <m:fPr>
                  <m:ctrlPr>
                    <w:rPr>
                      <w:rFonts w:hint="default" w:ascii="Cambria Math" w:hAnsi="Cambria Math" w:cs="Times New Roman"/>
                      <w:color w:val="auto"/>
                      <w:sz w:val="28"/>
                    </w:rPr>
                  </m:ctrlPr>
                </m:fPr>
                <m:num>
                  <m:sSubSup>
                    <m:sSubSupPr>
                      <m:ctrlPr>
                        <w:rPr>
                          <w:rFonts w:hint="default" w:ascii="Cambria Math" w:hAnsi="Cambria Math" w:cs="Times New Roman"/>
                          <w:color w:val="auto"/>
                          <w:sz w:val="28"/>
                        </w:rPr>
                      </m:ctrlPr>
                    </m:sSubSupPr>
                    <m:e>
                      <m:r>
                        <m:rPr>
                          <m:sty m:val="p"/>
                        </m:rPr>
                        <w:rPr>
                          <w:rFonts w:hint="default" w:ascii="Cambria Math" w:hAnsi="Cambria Math" w:cs="Times New Roman"/>
                          <w:color w:val="auto"/>
                          <w:sz w:val="28"/>
                        </w:rPr>
                        <m:t>R</m:t>
                      </m:r>
                      <m:ctrlPr>
                        <w:rPr>
                          <w:rFonts w:hint="default" w:ascii="Cambria Math" w:hAnsi="Cambria Math" w:cs="Times New Roman"/>
                          <w:color w:val="auto"/>
                          <w:sz w:val="28"/>
                        </w:rPr>
                      </m:ctrlPr>
                    </m:e>
                    <m:sub>
                      <m:r>
                        <m:rPr>
                          <m:sty m:val="p"/>
                        </m:rPr>
                        <w:rPr>
                          <w:rFonts w:hint="default" w:ascii="Cambria Math" w:hAnsi="Cambria Math" w:cs="Times New Roman"/>
                          <w:color w:val="auto"/>
                          <w:sz w:val="28"/>
                        </w:rPr>
                        <m:t>0</m:t>
                      </m:r>
                      <m:ctrlPr>
                        <w:rPr>
                          <w:rFonts w:hint="default" w:ascii="Cambria Math" w:hAnsi="Cambria Math" w:cs="Times New Roman"/>
                          <w:color w:val="auto"/>
                          <w:sz w:val="28"/>
                        </w:rPr>
                      </m:ctrlPr>
                    </m:sub>
                    <m:sup>
                      <m:r>
                        <m:rPr>
                          <m:sty m:val="p"/>
                        </m:rPr>
                        <w:rPr>
                          <w:rFonts w:hint="default" w:ascii="Cambria Math" w:hAnsi="Cambria Math" w:cs="Times New Roman"/>
                          <w:color w:val="auto"/>
                          <w:sz w:val="28"/>
                        </w:rPr>
                        <m:t>2</m:t>
                      </m:r>
                      <m:ctrlPr>
                        <w:rPr>
                          <w:rFonts w:hint="default" w:ascii="Cambria Math" w:hAnsi="Cambria Math" w:cs="Times New Roman"/>
                          <w:color w:val="auto"/>
                          <w:sz w:val="28"/>
                        </w:rPr>
                      </m:ctrlPr>
                    </m:sup>
                  </m:sSubSup>
                  <m:ctrlPr>
                    <w:rPr>
                      <w:rFonts w:hint="default" w:ascii="Cambria Math" w:hAnsi="Cambria Math" w:cs="Times New Roman"/>
                      <w:color w:val="auto"/>
                      <w:sz w:val="28"/>
                    </w:rPr>
                  </m:ctrlPr>
                </m:num>
                <m:den>
                  <m:r>
                    <m:rPr>
                      <m:sty m:val="p"/>
                    </m:rPr>
                    <w:rPr>
                      <w:rFonts w:hint="default" w:ascii="Cambria Math" w:hAnsi="Cambria Math" w:cs="Times New Roman"/>
                      <w:color w:val="auto"/>
                      <w:sz w:val="28"/>
                    </w:rPr>
                    <m:t>F∙α</m:t>
                  </m:r>
                  <m:ctrlPr>
                    <w:rPr>
                      <w:rFonts w:hint="default" w:ascii="Cambria Math" w:hAnsi="Cambria Math" w:cs="Times New Roman"/>
                      <w:color w:val="auto"/>
                      <w:sz w:val="28"/>
                    </w:rPr>
                  </m:ctrlPr>
                </m:den>
              </m:f>
            </m:oMath>
            <w:r>
              <w:rPr>
                <w:rFonts w:hint="default" w:ascii="Times New Roman" w:hAnsi="Times New Roman" w:cs="Times New Roman"/>
                <w:color w:val="auto"/>
              </w:rPr>
              <w:t>因子的值为：</w:t>
            </w:r>
            <w:r>
              <w:rPr>
                <w:rFonts w:hint="eastAsia" w:cs="Times New Roman"/>
                <w:color w:val="auto"/>
                <w:lang w:val="en-US" w:eastAsia="zh-CN"/>
              </w:rPr>
              <w:t>5</w:t>
            </w:r>
            <w:r>
              <w:rPr>
                <w:rFonts w:hint="default" w:ascii="Times New Roman" w:hAnsi="Times New Roman" w:cs="Times New Roman"/>
                <w:color w:val="auto"/>
              </w:rPr>
              <w:t>0（根据GBZ/T250-2014中附录B.4.2确定）</w:t>
            </w:r>
          </w:p>
          <w:p>
            <w:pPr>
              <w:pStyle w:val="47"/>
              <w:rPr>
                <w:rFonts w:hint="default" w:ascii="Times New Roman" w:hAnsi="Times New Roman" w:cs="Times New Roman"/>
                <w:color w:val="auto"/>
              </w:rPr>
            </w:pPr>
            <w:r>
              <w:rPr>
                <w:rFonts w:hint="default" w:ascii="Times New Roman" w:hAnsi="Times New Roman" w:cs="Times New Roman"/>
                <w:color w:val="auto"/>
              </w:rPr>
              <w:drawing>
                <wp:anchor distT="0" distB="0" distL="114300" distR="114300" simplePos="0" relativeHeight="251666432" behindDoc="0" locked="0" layoutInCell="1" allowOverlap="1">
                  <wp:simplePos x="0" y="0"/>
                  <wp:positionH relativeFrom="column">
                    <wp:posOffset>1341755</wp:posOffset>
                  </wp:positionH>
                  <wp:positionV relativeFrom="paragraph">
                    <wp:posOffset>1181735</wp:posOffset>
                  </wp:positionV>
                  <wp:extent cx="1743075" cy="487680"/>
                  <wp:effectExtent l="0" t="0" r="9525" b="7620"/>
                  <wp:wrapNone/>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20"/>
                          <a:stretch>
                            <a:fillRect/>
                          </a:stretch>
                        </pic:blipFill>
                        <pic:spPr>
                          <a:xfrm>
                            <a:off x="0" y="0"/>
                            <a:ext cx="1743075" cy="487680"/>
                          </a:xfrm>
                          <a:prstGeom prst="rect">
                            <a:avLst/>
                          </a:prstGeom>
                          <a:noFill/>
                          <a:ln>
                            <a:noFill/>
                          </a:ln>
                        </pic:spPr>
                      </pic:pic>
                    </a:graphicData>
                  </a:graphic>
                </wp:anchor>
              </w:drawing>
            </w:r>
            <w:r>
              <w:rPr>
                <w:rFonts w:hint="default" w:ascii="Times New Roman" w:hAnsi="Times New Roman" w:cs="Times New Roman"/>
                <w:color w:val="auto"/>
              </w:rPr>
              <w:t>b）在给定屏蔽物质厚度X时，相应的屏蔽透射因子B先根据</w:t>
            </w:r>
            <w:r>
              <w:rPr>
                <w:rFonts w:hint="default" w:ascii="Times New Roman" w:hAnsi="Times New Roman" w:cs="Times New Roman"/>
                <w:color w:val="auto"/>
                <w:kern w:val="0"/>
              </w:rPr>
              <w:t>《工业X射线探伤放射防护要求》（GBZ117-2015）</w:t>
            </w:r>
            <w:r>
              <w:rPr>
                <w:rFonts w:hint="default" w:ascii="Times New Roman" w:hAnsi="Times New Roman" w:cs="Times New Roman"/>
                <w:color w:val="auto"/>
              </w:rPr>
              <w:t>附录B表B1的相应值确定散射辐射下的TVL，然后按照11-3计算，然后按式11-8计算泄漏辐射在关注点的剂量率</w:t>
            </w:r>
            <m:oMath>
              <m:acc>
                <m:accPr>
                  <m:chr m:val="̇"/>
                  <m:ctrlPr>
                    <w:rPr>
                      <w:rFonts w:hint="default" w:ascii="Cambria Math" w:hAnsi="Cambria Math" w:cs="Times New Roman"/>
                      <w:i/>
                      <w:iCs/>
                      <w:color w:val="auto"/>
                    </w:rPr>
                  </m:ctrlPr>
                </m:accPr>
                <m:e>
                  <m:r>
                    <m:rPr/>
                    <w:rPr>
                      <w:rFonts w:hint="default" w:ascii="Cambria Math" w:hAnsi="Cambria Math" w:cs="Times New Roman"/>
                      <w:color w:val="auto"/>
                    </w:rPr>
                    <m:t>H</m:t>
                  </m:r>
                  <m:ctrlPr>
                    <w:rPr>
                      <w:rFonts w:hint="default" w:ascii="Cambria Math" w:hAnsi="Cambria Math" w:cs="Times New Roman"/>
                      <w:i/>
                      <w:iCs/>
                      <w:color w:val="auto"/>
                    </w:rPr>
                  </m:ctrlPr>
                </m:e>
              </m:acc>
            </m:oMath>
            <w:r>
              <w:rPr>
                <w:rFonts w:hint="default" w:ascii="Times New Roman" w:hAnsi="Times New Roman" w:cs="Times New Roman"/>
                <w:color w:val="auto"/>
              </w:rPr>
              <w:t>单位为微希每小时（μSv/h）：</w:t>
            </w:r>
          </w:p>
          <w:p>
            <w:pPr>
              <w:pStyle w:val="47"/>
              <w:spacing w:line="720" w:lineRule="auto"/>
              <w:ind w:firstLine="5280" w:firstLineChars="2200"/>
              <w:rPr>
                <w:rFonts w:hint="default" w:ascii="Times New Roman" w:hAnsi="Times New Roman" w:cs="Times New Roman"/>
                <w:color w:val="auto"/>
              </w:rPr>
            </w:pPr>
            <w:r>
              <w:rPr>
                <w:rFonts w:hint="default" w:ascii="Times New Roman" w:hAnsi="Times New Roman" w:cs="Times New Roman"/>
                <w:color w:val="auto"/>
              </w:rPr>
              <w:t>………（11-8）</w:t>
            </w:r>
          </w:p>
          <w:p>
            <w:pPr>
              <w:pStyle w:val="47"/>
              <w:rPr>
                <w:rFonts w:hint="default" w:ascii="Times New Roman" w:hAnsi="Times New Roman" w:cs="Times New Roman"/>
                <w:color w:val="auto"/>
              </w:rPr>
            </w:pPr>
            <w:r>
              <w:rPr>
                <w:rFonts w:hint="default" w:ascii="Times New Roman" w:hAnsi="Times New Roman" w:cs="Times New Roman"/>
                <w:color w:val="auto"/>
              </w:rPr>
              <w:t>式中：I——X射线探伤装置在最高管电压下常用的最大管电流；单位为（mA）；</w:t>
            </w:r>
          </w:p>
          <w:p>
            <w:pPr>
              <w:pStyle w:val="47"/>
              <w:rPr>
                <w:rFonts w:hint="default" w:ascii="Times New Roman" w:hAnsi="Times New Roman" w:cs="Times New Roman"/>
                <w:color w:val="auto"/>
              </w:rPr>
            </w:pPr>
            <w:r>
              <w:rPr>
                <w:rFonts w:hint="default" w:ascii="Times New Roman" w:hAnsi="Times New Roman" w:cs="Times New Roman"/>
                <w:color w:val="auto"/>
              </w:rPr>
              <w:t>R</w:t>
            </w:r>
            <w:r>
              <w:rPr>
                <w:rFonts w:hint="default" w:ascii="Times New Roman" w:hAnsi="Times New Roman" w:cs="Times New Roman"/>
                <w:color w:val="auto"/>
                <w:vertAlign w:val="subscript"/>
              </w:rPr>
              <w:t>0</w:t>
            </w:r>
            <w:r>
              <w:rPr>
                <w:rFonts w:hint="default" w:ascii="Times New Roman" w:hAnsi="Times New Roman" w:cs="Times New Roman"/>
                <w:color w:val="auto"/>
              </w:rPr>
              <w:t>——辐射源点（靶点）至探伤工件的距离，单位为米（m）；</w:t>
            </w:r>
          </w:p>
          <w:p>
            <w:pPr>
              <w:pStyle w:val="47"/>
              <w:rPr>
                <w:rFonts w:hint="default" w:ascii="Times New Roman" w:hAnsi="Times New Roman" w:cs="Times New Roman"/>
                <w:color w:val="auto"/>
              </w:rPr>
            </w:pPr>
            <w:r>
              <w:rPr>
                <w:rFonts w:hint="default" w:ascii="Times New Roman" w:hAnsi="Times New Roman" w:cs="Times New Roman"/>
                <w:color w:val="auto"/>
              </w:rPr>
              <w:t>Rs——散射体至关注点的距离，单位为米（m））；</w:t>
            </w:r>
          </w:p>
          <w:p>
            <w:pPr>
              <w:pStyle w:val="47"/>
              <w:rPr>
                <w:rFonts w:hint="default" w:ascii="Times New Roman" w:hAnsi="Times New Roman" w:cs="Times New Roman"/>
                <w:color w:val="auto"/>
              </w:rPr>
            </w:pPr>
            <w:r>
              <w:rPr>
                <w:rFonts w:hint="default" w:ascii="Times New Roman" w:hAnsi="Times New Roman" w:cs="Times New Roman"/>
                <w:color w:val="auto"/>
              </w:rPr>
              <w:tab/>
            </w:r>
            <w:r>
              <w:rPr>
                <w:rFonts w:hint="default" w:ascii="Times New Roman" w:hAnsi="Times New Roman" w:cs="Times New Roman"/>
                <w:color w:val="auto"/>
              </w:rPr>
              <w:t>F——R</w:t>
            </w:r>
            <w:r>
              <w:rPr>
                <w:rFonts w:hint="default" w:ascii="Times New Roman" w:hAnsi="Times New Roman" w:cs="Times New Roman"/>
                <w:color w:val="auto"/>
                <w:sz w:val="16"/>
                <w:szCs w:val="16"/>
              </w:rPr>
              <w:t>O</w:t>
            </w:r>
            <w:r>
              <w:rPr>
                <w:rFonts w:hint="default" w:ascii="Times New Roman" w:hAnsi="Times New Roman" w:cs="Times New Roman"/>
                <w:color w:val="auto"/>
              </w:rPr>
              <w:t>处的辐射野面积，单位为平方米（m</w:t>
            </w:r>
            <w:r>
              <w:rPr>
                <w:rFonts w:hint="default" w:ascii="Times New Roman" w:hAnsi="Times New Roman" w:cs="Times New Roman"/>
                <w:color w:val="auto"/>
                <w:sz w:val="16"/>
                <w:szCs w:val="16"/>
                <w:vertAlign w:val="superscript"/>
              </w:rPr>
              <w:t>2</w:t>
            </w:r>
            <w:r>
              <w:rPr>
                <w:rFonts w:hint="default" w:ascii="Times New Roman" w:hAnsi="Times New Roman" w:cs="Times New Roman"/>
                <w:color w:val="auto"/>
              </w:rPr>
              <w:t>）</w:t>
            </w:r>
          </w:p>
          <w:p>
            <w:pPr>
              <w:pStyle w:val="47"/>
              <w:rPr>
                <w:rFonts w:hint="default" w:ascii="Times New Roman" w:hAnsi="Times New Roman" w:cs="Times New Roman"/>
                <w:color w:val="auto"/>
              </w:rPr>
            </w:pPr>
            <w:r>
              <w:rPr>
                <w:rFonts w:hint="default" w:ascii="Times New Roman" w:hAnsi="Times New Roman" w:cs="Times New Roman"/>
                <w:color w:val="auto"/>
              </w:rPr>
              <w:tab/>
            </w:r>
            <w:r>
              <w:rPr>
                <w:rFonts w:hint="default" w:ascii="Times New Roman" w:hAnsi="Times New Roman" w:cs="Times New Roman"/>
                <w:color w:val="auto"/>
              </w:rPr>
              <w:t>α——散射因子，入射辐射被单位面积（1m</w:t>
            </w:r>
            <w:r>
              <w:rPr>
                <w:rFonts w:hint="default" w:ascii="Times New Roman" w:hAnsi="Times New Roman" w:cs="Times New Roman"/>
                <w:color w:val="auto"/>
                <w:vertAlign w:val="superscript"/>
              </w:rPr>
              <w:t>2</w:t>
            </w:r>
            <w:r>
              <w:rPr>
                <w:rFonts w:hint="default" w:ascii="Times New Roman" w:hAnsi="Times New Roman" w:cs="Times New Roman"/>
                <w:color w:val="auto"/>
              </w:rPr>
              <w:t>）散射体散射到距其1m处的散射辐射剂量率与该面积上的入射辐射剂量率的比；</w:t>
            </w:r>
          </w:p>
          <w:p>
            <w:pPr>
              <w:pStyle w:val="47"/>
              <w:rPr>
                <w:rFonts w:hint="default" w:ascii="Times New Roman" w:hAnsi="Times New Roman" w:cs="Times New Roman"/>
                <w:color w:val="auto"/>
              </w:rPr>
            </w:pPr>
            <w:r>
              <w:rPr>
                <w:rFonts w:hint="default" w:ascii="Times New Roman" w:hAnsi="Times New Roman" w:cs="Times New Roman"/>
                <w:color w:val="auto"/>
              </w:rPr>
              <w:tab/>
            </w:r>
            <w:r>
              <w:rPr>
                <w:rFonts w:hint="default" w:ascii="Times New Roman" w:hAnsi="Times New Roman" w:cs="Times New Roman"/>
                <w:i/>
                <w:color w:val="auto"/>
              </w:rPr>
              <w:t>H</w:t>
            </w:r>
            <w:r>
              <w:rPr>
                <w:rFonts w:hint="default" w:ascii="Times New Roman" w:hAnsi="Times New Roman" w:cs="Times New Roman"/>
                <w:i/>
                <w:color w:val="auto"/>
                <w:vertAlign w:val="subscript"/>
              </w:rPr>
              <w:t>0</w:t>
            </w:r>
            <w:r>
              <w:rPr>
                <w:rFonts w:hint="default" w:ascii="Times New Roman" w:hAnsi="Times New Roman" w:cs="Times New Roman"/>
                <w:color w:val="auto"/>
              </w:rPr>
              <w:t>——距离辐射原点1m处的输出量，μSv·m</w:t>
            </w:r>
            <w:r>
              <w:rPr>
                <w:rFonts w:hint="default" w:ascii="Times New Roman" w:hAnsi="Times New Roman" w:cs="Times New Roman"/>
                <w:color w:val="auto"/>
                <w:vertAlign w:val="superscript"/>
              </w:rPr>
              <w:t>2</w:t>
            </w:r>
            <w:r>
              <w:rPr>
                <w:rFonts w:hint="default" w:ascii="Times New Roman" w:hAnsi="Times New Roman" w:cs="Times New Roman"/>
                <w:color w:val="auto"/>
              </w:rPr>
              <w:t>/（mA·h），以mSv·m</w:t>
            </w:r>
            <w:r>
              <w:rPr>
                <w:rFonts w:hint="default" w:ascii="Times New Roman" w:hAnsi="Times New Roman" w:cs="Times New Roman"/>
                <w:color w:val="auto"/>
                <w:vertAlign w:val="superscript"/>
              </w:rPr>
              <w:t>2</w:t>
            </w:r>
            <w:r>
              <w:rPr>
                <w:rFonts w:hint="default" w:ascii="Times New Roman" w:hAnsi="Times New Roman" w:cs="Times New Roman"/>
                <w:color w:val="auto"/>
              </w:rPr>
              <w:t>/（mA·min）为单位的值乘以6×10</w:t>
            </w:r>
            <w:r>
              <w:rPr>
                <w:rFonts w:hint="default" w:ascii="Times New Roman" w:hAnsi="Times New Roman" w:cs="Times New Roman"/>
                <w:color w:val="auto"/>
                <w:vertAlign w:val="superscript"/>
              </w:rPr>
              <w:t>4</w:t>
            </w:r>
            <w:r>
              <w:rPr>
                <w:rFonts w:hint="default" w:ascii="Times New Roman" w:hAnsi="Times New Roman" w:cs="Times New Roman"/>
                <w:color w:val="auto"/>
              </w:rPr>
              <w:t>；</w:t>
            </w:r>
          </w:p>
          <w:p>
            <w:pPr>
              <w:pStyle w:val="42"/>
              <w:rPr>
                <w:rFonts w:hint="default" w:ascii="Times New Roman" w:hAnsi="Times New Roman" w:cs="Times New Roman"/>
                <w:color w:val="auto"/>
              </w:rPr>
            </w:pPr>
            <w:r>
              <w:rPr>
                <w:rFonts w:hint="default" w:ascii="Times New Roman" w:hAnsi="Times New Roman" w:cs="Times New Roman"/>
                <w:color w:val="auto"/>
              </w:rPr>
              <w:tab/>
            </w:r>
            <w:r>
              <w:rPr>
                <w:rFonts w:hint="default" w:ascii="Times New Roman" w:hAnsi="Times New Roman" w:cs="Times New Roman"/>
                <w:color w:val="auto"/>
              </w:rPr>
              <w:t>11.2.3 探伤室屏蔽防护效能核实</w:t>
            </w:r>
          </w:p>
          <w:p>
            <w:pPr>
              <w:pStyle w:val="47"/>
              <w:ind w:firstLine="482"/>
              <w:rPr>
                <w:rFonts w:hint="default" w:ascii="Times New Roman" w:hAnsi="Times New Roman" w:cs="Times New Roman"/>
                <w:color w:val="auto"/>
              </w:rPr>
            </w:pPr>
            <w:r>
              <w:rPr>
                <w:rFonts w:hint="default" w:ascii="Times New Roman" w:hAnsi="Times New Roman" w:cs="Times New Roman"/>
                <w:b/>
                <w:bCs/>
                <w:color w:val="auto"/>
              </w:rPr>
              <w:t>1）探伤室屏蔽防护效能核实原则</w:t>
            </w:r>
          </w:p>
          <w:p>
            <w:pPr>
              <w:pStyle w:val="47"/>
              <w:rPr>
                <w:rFonts w:hint="default" w:ascii="Times New Roman" w:hAnsi="Times New Roman" w:cs="Times New Roman"/>
                <w:color w:val="auto"/>
              </w:rPr>
            </w:pPr>
            <w:r>
              <w:rPr>
                <w:rFonts w:hint="default" w:ascii="Times New Roman" w:hAnsi="Times New Roman" w:cs="Times New Roman"/>
                <w:color w:val="auto"/>
              </w:rPr>
              <w:t>墙体厚度确定原则：当可能存在泄漏辐射和散射辐射的复合作用时，通常分别估算泄漏辐射和各项散射辐射，当它们的屏蔽厚度相差一个什值层厚度（TVL）或更大时，采用其中较厚的屏蔽，当相差不足一个TVL时，则在较厚的屏蔽上增加一个半值层厚度（HVL）。</w:t>
            </w:r>
          </w:p>
          <w:p>
            <w:pPr>
              <w:pStyle w:val="47"/>
              <w:ind w:firstLine="482"/>
              <w:rPr>
                <w:rFonts w:hint="default" w:ascii="Times New Roman" w:hAnsi="Times New Roman" w:cs="Times New Roman"/>
                <w:color w:val="auto"/>
              </w:rPr>
            </w:pPr>
            <w:r>
              <w:rPr>
                <w:rFonts w:hint="default" w:ascii="Times New Roman" w:hAnsi="Times New Roman" w:cs="Times New Roman"/>
                <w:b/>
                <w:bCs/>
                <w:color w:val="auto"/>
              </w:rPr>
              <w:t>2）X射线装置屏蔽防护效能核实结果</w:t>
            </w:r>
          </w:p>
          <w:p>
            <w:pPr>
              <w:pStyle w:val="47"/>
              <w:rPr>
                <w:rFonts w:hint="eastAsia" w:eastAsia="宋体"/>
                <w:color w:val="auto"/>
                <w:sz w:val="24"/>
                <w:szCs w:val="24"/>
                <w:lang w:val="en-US" w:eastAsia="zh-CN"/>
              </w:rPr>
            </w:pPr>
            <w:r>
              <w:rPr>
                <w:rFonts w:hint="default" w:ascii="Times New Roman" w:hAnsi="Times New Roman" w:cs="Times New Roman"/>
                <w:color w:val="auto"/>
              </w:rPr>
              <w:t>本次环评按照X射线装置的最大能量（225kV）进行核算；本项目X射线机为固定式，出束时仅移动待测螺旋管，其主射方向朝上。估算参数见表11-1、11-2、11-3和11-4</w:t>
            </w:r>
            <w:r>
              <w:rPr>
                <w:rFonts w:hint="eastAsia" w:cs="Times New Roman"/>
                <w:color w:val="auto"/>
                <w:lang w:eastAsia="zh-CN"/>
              </w:rPr>
              <w:t>。</w:t>
            </w:r>
            <w:r>
              <w:rPr>
                <w:rFonts w:hint="default" w:ascii="Times New Roman" w:hAnsi="Times New Roman" w:cs="Times New Roman"/>
                <w:color w:val="auto"/>
              </w:rPr>
              <w:t>各关注点剂量率参考控制水平和距离核算数据见11-5</w:t>
            </w:r>
            <w:r>
              <w:rPr>
                <w:rFonts w:hint="eastAsia" w:cs="Times New Roman"/>
                <w:color w:val="auto"/>
                <w:lang w:eastAsia="zh-CN"/>
              </w:rPr>
              <w:t>。</w:t>
            </w:r>
          </w:p>
          <w:p>
            <w:pPr>
              <w:pStyle w:val="49"/>
              <w:spacing w:after="156"/>
              <w:rPr>
                <w:rFonts w:hint="default" w:ascii="Times New Roman" w:hAnsi="Times New Roman" w:cs="Times New Roman"/>
                <w:color w:val="auto"/>
              </w:rPr>
            </w:pPr>
            <w:r>
              <w:rPr>
                <w:rFonts w:hint="default" w:ascii="Times New Roman" w:hAnsi="Times New Roman" w:cs="Times New Roman"/>
                <w:color w:val="auto"/>
              </w:rPr>
              <w:t>表11-5 剂量率参考控制水平和距离核算表</w:t>
            </w:r>
          </w:p>
          <w:tbl>
            <w:tblPr>
              <w:tblStyle w:val="23"/>
              <w:tblW w:w="83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6"/>
              <w:gridCol w:w="2187"/>
              <w:gridCol w:w="585"/>
              <w:gridCol w:w="413"/>
              <w:gridCol w:w="622"/>
              <w:gridCol w:w="1001"/>
              <w:gridCol w:w="668"/>
              <w:gridCol w:w="1190"/>
              <w:gridCol w:w="11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546" w:type="dxa"/>
                  <w:vMerge w:val="restart"/>
                  <w:noWrap w:val="0"/>
                  <w:vAlign w:val="center"/>
                </w:tcPr>
                <w:p>
                  <w:pPr>
                    <w:pStyle w:val="53"/>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序号</w:t>
                  </w:r>
                </w:p>
              </w:tc>
              <w:tc>
                <w:tcPr>
                  <w:tcW w:w="2187" w:type="dxa"/>
                  <w:vMerge w:val="restart"/>
                  <w:noWrap w:val="0"/>
                  <w:vAlign w:val="center"/>
                </w:tcPr>
                <w:p>
                  <w:pPr>
                    <w:pStyle w:val="53"/>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关注点</w:t>
                  </w:r>
                </w:p>
              </w:tc>
              <w:tc>
                <w:tcPr>
                  <w:tcW w:w="585" w:type="dxa"/>
                  <w:vMerge w:val="restart"/>
                  <w:noWrap w:val="0"/>
                  <w:vAlign w:val="center"/>
                </w:tcPr>
                <w:p>
                  <w:pPr>
                    <w:pStyle w:val="53"/>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人员类型</w:t>
                  </w:r>
                </w:p>
              </w:tc>
              <w:tc>
                <w:tcPr>
                  <w:tcW w:w="413" w:type="dxa"/>
                  <w:vMerge w:val="restart"/>
                  <w:noWrap w:val="0"/>
                  <w:vAlign w:val="center"/>
                </w:tcPr>
                <w:p>
                  <w:pPr>
                    <w:pStyle w:val="53"/>
                    <w:rPr>
                      <w:rFonts w:hint="default" w:ascii="Times New Roman" w:hAnsi="Times New Roman" w:cs="Times New Roman"/>
                      <w:color w:val="auto"/>
                      <w:sz w:val="18"/>
                      <w:szCs w:val="18"/>
                    </w:rPr>
                  </w:pPr>
                  <w:r>
                    <w:rPr>
                      <w:rFonts w:hint="default" w:ascii="Times New Roman" w:hAnsi="Times New Roman" w:cs="Times New Roman"/>
                      <w:color w:val="auto"/>
                      <w:sz w:val="18"/>
                      <w:szCs w:val="18"/>
                    </w:rPr>
                    <w:t>U</w:t>
                  </w:r>
                </w:p>
              </w:tc>
              <w:tc>
                <w:tcPr>
                  <w:tcW w:w="622" w:type="dxa"/>
                  <w:vMerge w:val="restart"/>
                  <w:noWrap w:val="0"/>
                  <w:vAlign w:val="center"/>
                </w:tcPr>
                <w:p>
                  <w:pPr>
                    <w:pStyle w:val="53"/>
                    <w:rPr>
                      <w:rFonts w:hint="default" w:ascii="Times New Roman" w:hAnsi="Times New Roman" w:cs="Times New Roman"/>
                      <w:color w:val="auto"/>
                      <w:sz w:val="18"/>
                      <w:szCs w:val="18"/>
                    </w:rPr>
                  </w:pPr>
                  <w:r>
                    <w:rPr>
                      <w:rFonts w:hint="default" w:ascii="Times New Roman" w:hAnsi="Times New Roman" w:cs="Times New Roman"/>
                      <w:color w:val="auto"/>
                      <w:sz w:val="18"/>
                      <w:szCs w:val="18"/>
                    </w:rPr>
                    <w:t>T</w:t>
                  </w:r>
                </w:p>
              </w:tc>
              <w:tc>
                <w:tcPr>
                  <w:tcW w:w="1001" w:type="dxa"/>
                  <w:vMerge w:val="restart"/>
                  <w:noWrap w:val="0"/>
                  <w:vAlign w:val="center"/>
                </w:tcPr>
                <w:p>
                  <w:pPr>
                    <w:pStyle w:val="53"/>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剂量率参考控制水平</w:t>
                  </w:r>
                  <m:oMath>
                    <m:sSub>
                      <m:sSubPr>
                        <m:ctrlPr>
                          <w:rPr>
                            <w:rFonts w:hint="default" w:ascii="Cambria Math" w:hAnsi="Cambria Math" w:cs="Times New Roman"/>
                            <w:color w:val="auto"/>
                            <w:sz w:val="18"/>
                            <w:szCs w:val="18"/>
                          </w:rPr>
                        </m:ctrlPr>
                      </m:sSubPr>
                      <m:e>
                        <m:acc>
                          <m:accPr>
                            <m:chr m:val="̇"/>
                            <m:ctrlPr>
                              <w:rPr>
                                <w:rFonts w:hint="default" w:ascii="Cambria Math" w:hAnsi="Cambria Math" w:cs="Times New Roman"/>
                                <w:color w:val="auto"/>
                                <w:sz w:val="18"/>
                                <w:szCs w:val="18"/>
                              </w:rPr>
                            </m:ctrlPr>
                          </m:accPr>
                          <m:e>
                            <m:r>
                              <m:rPr>
                                <m:sty m:val="p"/>
                              </m:rPr>
                              <w:rPr>
                                <w:rFonts w:hint="default" w:ascii="Cambria Math" w:hAnsi="Cambria Math" w:cs="Times New Roman"/>
                                <w:color w:val="auto"/>
                                <w:sz w:val="18"/>
                                <w:szCs w:val="18"/>
                              </w:rPr>
                              <m:t>H</m:t>
                            </m:r>
                            <m:ctrlPr>
                              <w:rPr>
                                <w:rFonts w:hint="default" w:ascii="Cambria Math" w:hAnsi="Cambria Math" w:cs="Times New Roman"/>
                                <w:color w:val="auto"/>
                                <w:sz w:val="18"/>
                                <w:szCs w:val="18"/>
                              </w:rPr>
                            </m:ctrlPr>
                          </m:e>
                        </m:acc>
                        <m:ctrlPr>
                          <w:rPr>
                            <w:rFonts w:hint="default" w:ascii="Cambria Math" w:hAnsi="Cambria Math" w:cs="Times New Roman"/>
                            <w:color w:val="auto"/>
                            <w:sz w:val="18"/>
                            <w:szCs w:val="18"/>
                          </w:rPr>
                        </m:ctrlPr>
                      </m:e>
                      <m:sub>
                        <m:r>
                          <m:rPr>
                            <m:sty m:val="p"/>
                          </m:rPr>
                          <w:rPr>
                            <w:rFonts w:hint="default" w:ascii="Cambria Math" w:hAnsi="Cambria Math" w:cs="Times New Roman"/>
                            <w:color w:val="auto"/>
                            <w:sz w:val="18"/>
                            <w:szCs w:val="18"/>
                          </w:rPr>
                          <m:t>c∙d</m:t>
                        </m:r>
                        <m:ctrlPr>
                          <w:rPr>
                            <w:rFonts w:hint="default" w:ascii="Cambria Math" w:hAnsi="Cambria Math" w:cs="Times New Roman"/>
                            <w:color w:val="auto"/>
                            <w:sz w:val="18"/>
                            <w:szCs w:val="18"/>
                          </w:rPr>
                        </m:ctrlPr>
                      </m:sub>
                    </m:sSub>
                  </m:oMath>
                  <w:r>
                    <w:rPr>
                      <w:rFonts w:hint="default" w:ascii="Times New Roman" w:hAnsi="Times New Roman" w:cs="Times New Roman"/>
                      <w:color w:val="auto"/>
                      <w:sz w:val="18"/>
                      <w:szCs w:val="18"/>
                    </w:rPr>
                    <w:t>（μSv/h）</w:t>
                  </w:r>
                </w:p>
              </w:tc>
              <w:tc>
                <w:tcPr>
                  <w:tcW w:w="668" w:type="dxa"/>
                  <w:vMerge w:val="restart"/>
                  <w:noWrap w:val="0"/>
                  <w:vAlign w:val="center"/>
                </w:tcPr>
                <w:p>
                  <w:pPr>
                    <w:pStyle w:val="53"/>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考虑的辐射源</w:t>
                  </w:r>
                </w:p>
              </w:tc>
              <w:tc>
                <w:tcPr>
                  <w:tcW w:w="2290" w:type="dxa"/>
                  <w:gridSpan w:val="2"/>
                  <w:noWrap w:val="0"/>
                  <w:vAlign w:val="center"/>
                </w:tcPr>
                <w:p>
                  <w:pPr>
                    <w:pStyle w:val="53"/>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核算距离m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jc w:val="center"/>
              </w:trPr>
              <w:tc>
                <w:tcPr>
                  <w:tcW w:w="546" w:type="dxa"/>
                  <w:vMerge w:val="continue"/>
                  <w:noWrap w:val="0"/>
                  <w:vAlign w:val="center"/>
                </w:tcPr>
                <w:p>
                  <w:pPr>
                    <w:pStyle w:val="53"/>
                    <w:rPr>
                      <w:rFonts w:hint="default" w:ascii="Times New Roman" w:hAnsi="Times New Roman" w:cs="Times New Roman"/>
                      <w:color w:val="auto"/>
                      <w:sz w:val="18"/>
                      <w:szCs w:val="18"/>
                    </w:rPr>
                  </w:pPr>
                </w:p>
              </w:tc>
              <w:tc>
                <w:tcPr>
                  <w:tcW w:w="2187" w:type="dxa"/>
                  <w:vMerge w:val="continue"/>
                  <w:noWrap w:val="0"/>
                  <w:vAlign w:val="center"/>
                </w:tcPr>
                <w:p>
                  <w:pPr>
                    <w:pStyle w:val="53"/>
                    <w:rPr>
                      <w:rFonts w:hint="default" w:ascii="Times New Roman" w:hAnsi="Times New Roman" w:cs="Times New Roman"/>
                      <w:color w:val="auto"/>
                      <w:sz w:val="18"/>
                      <w:szCs w:val="18"/>
                    </w:rPr>
                  </w:pPr>
                </w:p>
              </w:tc>
              <w:tc>
                <w:tcPr>
                  <w:tcW w:w="585" w:type="dxa"/>
                  <w:vMerge w:val="continue"/>
                  <w:noWrap w:val="0"/>
                  <w:vAlign w:val="center"/>
                </w:tcPr>
                <w:p>
                  <w:pPr>
                    <w:pStyle w:val="53"/>
                    <w:rPr>
                      <w:rFonts w:hint="default" w:ascii="Times New Roman" w:hAnsi="Times New Roman" w:cs="Times New Roman"/>
                      <w:color w:val="auto"/>
                      <w:sz w:val="18"/>
                      <w:szCs w:val="18"/>
                    </w:rPr>
                  </w:pPr>
                </w:p>
              </w:tc>
              <w:tc>
                <w:tcPr>
                  <w:tcW w:w="413" w:type="dxa"/>
                  <w:vMerge w:val="continue"/>
                  <w:noWrap w:val="0"/>
                  <w:vAlign w:val="center"/>
                </w:tcPr>
                <w:p>
                  <w:pPr>
                    <w:pStyle w:val="53"/>
                    <w:rPr>
                      <w:rFonts w:hint="default" w:ascii="Times New Roman" w:hAnsi="Times New Roman" w:cs="Times New Roman"/>
                      <w:color w:val="auto"/>
                      <w:sz w:val="18"/>
                      <w:szCs w:val="18"/>
                    </w:rPr>
                  </w:pPr>
                </w:p>
              </w:tc>
              <w:tc>
                <w:tcPr>
                  <w:tcW w:w="622" w:type="dxa"/>
                  <w:vMerge w:val="continue"/>
                  <w:noWrap w:val="0"/>
                  <w:vAlign w:val="center"/>
                </w:tcPr>
                <w:p>
                  <w:pPr>
                    <w:pStyle w:val="53"/>
                    <w:rPr>
                      <w:rFonts w:hint="default" w:ascii="Times New Roman" w:hAnsi="Times New Roman" w:cs="Times New Roman"/>
                      <w:color w:val="auto"/>
                      <w:sz w:val="18"/>
                      <w:szCs w:val="18"/>
                    </w:rPr>
                  </w:pPr>
                </w:p>
              </w:tc>
              <w:tc>
                <w:tcPr>
                  <w:tcW w:w="1001" w:type="dxa"/>
                  <w:vMerge w:val="continue"/>
                  <w:noWrap w:val="0"/>
                  <w:vAlign w:val="center"/>
                </w:tcPr>
                <w:p>
                  <w:pPr>
                    <w:pStyle w:val="53"/>
                    <w:rPr>
                      <w:rFonts w:hint="default" w:ascii="Times New Roman" w:hAnsi="Times New Roman" w:cs="Times New Roman"/>
                      <w:color w:val="auto"/>
                      <w:sz w:val="18"/>
                      <w:szCs w:val="18"/>
                    </w:rPr>
                  </w:pPr>
                </w:p>
              </w:tc>
              <w:tc>
                <w:tcPr>
                  <w:tcW w:w="668" w:type="dxa"/>
                  <w:vMerge w:val="continue"/>
                  <w:noWrap w:val="0"/>
                  <w:vAlign w:val="center"/>
                </w:tcPr>
                <w:p>
                  <w:pPr>
                    <w:pStyle w:val="53"/>
                    <w:rPr>
                      <w:rFonts w:hint="default" w:ascii="Times New Roman" w:hAnsi="Times New Roman" w:cs="Times New Roman"/>
                      <w:color w:val="auto"/>
                      <w:sz w:val="18"/>
                      <w:szCs w:val="18"/>
                    </w:rPr>
                  </w:pPr>
                </w:p>
              </w:tc>
              <w:tc>
                <w:tcPr>
                  <w:tcW w:w="1190" w:type="dxa"/>
                  <w:noWrap w:val="0"/>
                  <w:vAlign w:val="center"/>
                </w:tcPr>
                <w:p>
                  <w:pPr>
                    <w:pStyle w:val="53"/>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距探伤机出束口距离R</w:t>
                  </w:r>
                </w:p>
              </w:tc>
              <w:tc>
                <w:tcPr>
                  <w:tcW w:w="1100" w:type="dxa"/>
                  <w:noWrap w:val="0"/>
                  <w:vAlign w:val="center"/>
                </w:tcPr>
                <w:p>
                  <w:pPr>
                    <w:pStyle w:val="53"/>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距散射体距离Rs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6" w:type="dxa"/>
                  <w:noWrap w:val="0"/>
                  <w:vAlign w:val="center"/>
                </w:tcPr>
                <w:p>
                  <w:pPr>
                    <w:pStyle w:val="53"/>
                    <w:rPr>
                      <w:rFonts w:hint="eastAsia"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rPr>
                    <w:t>1</w:t>
                  </w:r>
                  <w:r>
                    <w:rPr>
                      <w:rFonts w:hint="eastAsia" w:cs="Times New Roman"/>
                      <w:color w:val="auto"/>
                      <w:sz w:val="18"/>
                      <w:szCs w:val="18"/>
                      <w:lang w:val="en-US" w:eastAsia="zh-CN"/>
                    </w:rPr>
                    <w:t>#</w:t>
                  </w:r>
                </w:p>
              </w:tc>
              <w:tc>
                <w:tcPr>
                  <w:tcW w:w="2187" w:type="dxa"/>
                  <w:noWrap w:val="0"/>
                  <w:vAlign w:val="center"/>
                </w:tcPr>
                <w:p>
                  <w:pPr>
                    <w:pStyle w:val="53"/>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控制室操作位</w:t>
                  </w:r>
                </w:p>
              </w:tc>
              <w:tc>
                <w:tcPr>
                  <w:tcW w:w="585" w:type="dxa"/>
                  <w:vMerge w:val="restart"/>
                  <w:noWrap w:val="0"/>
                  <w:vAlign w:val="center"/>
                </w:tcPr>
                <w:p>
                  <w:pPr>
                    <w:pStyle w:val="53"/>
                    <w:rPr>
                      <w:rFonts w:hint="eastAsia"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rPr>
                    <w:t>辐射</w:t>
                  </w:r>
                  <w:r>
                    <w:rPr>
                      <w:rFonts w:hint="eastAsia" w:cs="Times New Roman"/>
                      <w:color w:val="auto"/>
                      <w:sz w:val="18"/>
                      <w:szCs w:val="18"/>
                      <w:lang w:val="en-US" w:eastAsia="zh-CN"/>
                    </w:rPr>
                    <w:t>工作人员</w:t>
                  </w:r>
                </w:p>
              </w:tc>
              <w:tc>
                <w:tcPr>
                  <w:tcW w:w="413" w:type="dxa"/>
                  <w:noWrap w:val="0"/>
                  <w:vAlign w:val="center"/>
                </w:tcPr>
                <w:p>
                  <w:pPr>
                    <w:pStyle w:val="53"/>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w:t>
                  </w:r>
                </w:p>
              </w:tc>
              <w:tc>
                <w:tcPr>
                  <w:tcW w:w="622" w:type="dxa"/>
                  <w:noWrap w:val="0"/>
                  <w:vAlign w:val="center"/>
                </w:tcPr>
                <w:p>
                  <w:pPr>
                    <w:pStyle w:val="53"/>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w:t>
                  </w:r>
                </w:p>
              </w:tc>
              <w:tc>
                <w:tcPr>
                  <w:tcW w:w="1001" w:type="dxa"/>
                  <w:noWrap w:val="0"/>
                  <w:vAlign w:val="center"/>
                </w:tcPr>
                <w:p>
                  <w:pPr>
                    <w:pStyle w:val="53"/>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2.5</w:t>
                  </w:r>
                </w:p>
              </w:tc>
              <w:tc>
                <w:tcPr>
                  <w:tcW w:w="668" w:type="dxa"/>
                  <w:vMerge w:val="restart"/>
                  <w:noWrap w:val="0"/>
                  <w:vAlign w:val="center"/>
                </w:tcPr>
                <w:p>
                  <w:pPr>
                    <w:pStyle w:val="53"/>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散射、</w:t>
                  </w:r>
                </w:p>
                <w:p>
                  <w:pPr>
                    <w:pStyle w:val="53"/>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漏射辐射</w:t>
                  </w:r>
                </w:p>
              </w:tc>
              <w:tc>
                <w:tcPr>
                  <w:tcW w:w="1190" w:type="dxa"/>
                  <w:noWrap w:val="0"/>
                  <w:vAlign w:val="center"/>
                </w:tcPr>
                <w:p>
                  <w:pPr>
                    <w:pStyle w:val="53"/>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2.5</w:t>
                  </w:r>
                </w:p>
              </w:tc>
              <w:tc>
                <w:tcPr>
                  <w:tcW w:w="1100" w:type="dxa"/>
                  <w:noWrap w:val="0"/>
                  <w:vAlign w:val="center"/>
                </w:tcPr>
                <w:p>
                  <w:pPr>
                    <w:pStyle w:val="53"/>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6" w:type="dxa"/>
                  <w:noWrap w:val="0"/>
                  <w:vAlign w:val="center"/>
                </w:tcPr>
                <w:p>
                  <w:pPr>
                    <w:pStyle w:val="53"/>
                    <w:ind w:firstLine="0" w:firstLineChars="0"/>
                    <w:rPr>
                      <w:rFonts w:hint="eastAsia" w:ascii="Times New Roman" w:hAnsi="Times New Roman" w:eastAsia="宋体" w:cs="Times New Roman"/>
                      <w:b w:val="0"/>
                      <w:color w:val="auto"/>
                      <w:kern w:val="2"/>
                      <w:sz w:val="18"/>
                      <w:szCs w:val="18"/>
                      <w:lang w:val="en-US" w:eastAsia="zh-CN" w:bidi="ar-SA"/>
                    </w:rPr>
                  </w:pPr>
                  <w:r>
                    <w:rPr>
                      <w:rFonts w:hint="default" w:ascii="Times New Roman" w:hAnsi="Times New Roman" w:cs="Times New Roman"/>
                      <w:color w:val="auto"/>
                      <w:sz w:val="18"/>
                      <w:szCs w:val="18"/>
                    </w:rPr>
                    <w:t>2</w:t>
                  </w:r>
                  <w:r>
                    <w:rPr>
                      <w:rFonts w:hint="eastAsia" w:cs="Times New Roman"/>
                      <w:color w:val="auto"/>
                      <w:sz w:val="18"/>
                      <w:szCs w:val="18"/>
                      <w:lang w:val="en-US" w:eastAsia="zh-CN"/>
                    </w:rPr>
                    <w:t>#</w:t>
                  </w:r>
                </w:p>
              </w:tc>
              <w:tc>
                <w:tcPr>
                  <w:tcW w:w="2187" w:type="dxa"/>
                  <w:noWrap w:val="0"/>
                  <w:vAlign w:val="center"/>
                </w:tcPr>
                <w:p>
                  <w:pPr>
                    <w:pStyle w:val="53"/>
                    <w:rPr>
                      <w:rFonts w:hint="eastAsia" w:ascii="Times New Roman" w:hAnsi="Times New Roman" w:eastAsia="宋体" w:cs="Times New Roman"/>
                      <w:color w:val="auto"/>
                      <w:sz w:val="18"/>
                      <w:szCs w:val="18"/>
                      <w:lang w:eastAsia="zh-CN"/>
                    </w:rPr>
                  </w:pPr>
                  <w:r>
                    <w:rPr>
                      <w:rFonts w:hint="eastAsia" w:cs="Times New Roman"/>
                      <w:color w:val="auto"/>
                      <w:sz w:val="18"/>
                      <w:szCs w:val="18"/>
                      <w:lang w:val="en-US" w:eastAsia="zh-CN"/>
                    </w:rPr>
                    <w:t>维修</w:t>
                  </w:r>
                  <w:r>
                    <w:rPr>
                      <w:rFonts w:hint="default" w:ascii="Times New Roman" w:hAnsi="Times New Roman" w:cs="Times New Roman"/>
                      <w:color w:val="auto"/>
                      <w:sz w:val="18"/>
                      <w:szCs w:val="18"/>
                    </w:rPr>
                    <w:t>门外30cm</w:t>
                  </w:r>
                  <w:r>
                    <w:rPr>
                      <w:rFonts w:hint="eastAsia" w:cs="Times New Roman"/>
                      <w:color w:val="auto"/>
                      <w:sz w:val="18"/>
                      <w:szCs w:val="18"/>
                      <w:lang w:eastAsia="zh-CN"/>
                    </w:rPr>
                    <w:t>（</w:t>
                  </w:r>
                  <w:r>
                    <w:rPr>
                      <w:rFonts w:hint="eastAsia" w:cs="Times New Roman"/>
                      <w:color w:val="auto"/>
                      <w:sz w:val="18"/>
                      <w:szCs w:val="18"/>
                      <w:lang w:val="en-US" w:eastAsia="zh-CN"/>
                    </w:rPr>
                    <w:t>控制室内</w:t>
                  </w:r>
                  <w:r>
                    <w:rPr>
                      <w:rFonts w:hint="eastAsia" w:cs="Times New Roman"/>
                      <w:color w:val="auto"/>
                      <w:sz w:val="18"/>
                      <w:szCs w:val="18"/>
                      <w:lang w:eastAsia="zh-CN"/>
                    </w:rPr>
                    <w:t>）</w:t>
                  </w:r>
                </w:p>
              </w:tc>
              <w:tc>
                <w:tcPr>
                  <w:tcW w:w="585" w:type="dxa"/>
                  <w:vMerge w:val="continue"/>
                  <w:noWrap w:val="0"/>
                  <w:vAlign w:val="center"/>
                </w:tcPr>
                <w:p>
                  <w:pPr>
                    <w:pStyle w:val="53"/>
                    <w:rPr>
                      <w:rFonts w:hint="default" w:ascii="Times New Roman" w:hAnsi="Times New Roman" w:cs="Times New Roman"/>
                      <w:color w:val="auto"/>
                      <w:sz w:val="18"/>
                      <w:szCs w:val="18"/>
                    </w:rPr>
                  </w:pPr>
                </w:p>
              </w:tc>
              <w:tc>
                <w:tcPr>
                  <w:tcW w:w="413" w:type="dxa"/>
                  <w:noWrap w:val="0"/>
                  <w:vAlign w:val="center"/>
                </w:tcPr>
                <w:p>
                  <w:pPr>
                    <w:pStyle w:val="53"/>
                    <w:rPr>
                      <w:rFonts w:hint="eastAsia"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1</w:t>
                  </w:r>
                </w:p>
              </w:tc>
              <w:tc>
                <w:tcPr>
                  <w:tcW w:w="622" w:type="dxa"/>
                  <w:noWrap w:val="0"/>
                  <w:vAlign w:val="center"/>
                </w:tcPr>
                <w:p>
                  <w:pPr>
                    <w:pStyle w:val="53"/>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1</w:t>
                  </w:r>
                </w:p>
              </w:tc>
              <w:tc>
                <w:tcPr>
                  <w:tcW w:w="1001" w:type="dxa"/>
                  <w:noWrap w:val="0"/>
                  <w:vAlign w:val="center"/>
                </w:tcPr>
                <w:p>
                  <w:pPr>
                    <w:pStyle w:val="53"/>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2.5</w:t>
                  </w:r>
                </w:p>
              </w:tc>
              <w:tc>
                <w:tcPr>
                  <w:tcW w:w="668" w:type="dxa"/>
                  <w:vMerge w:val="continue"/>
                  <w:noWrap w:val="0"/>
                  <w:vAlign w:val="center"/>
                </w:tcPr>
                <w:p>
                  <w:pPr>
                    <w:pStyle w:val="53"/>
                    <w:rPr>
                      <w:rFonts w:hint="default" w:ascii="Times New Roman" w:hAnsi="Times New Roman" w:cs="Times New Roman"/>
                      <w:color w:val="auto"/>
                      <w:sz w:val="18"/>
                      <w:szCs w:val="18"/>
                    </w:rPr>
                  </w:pPr>
                </w:p>
              </w:tc>
              <w:tc>
                <w:tcPr>
                  <w:tcW w:w="1190" w:type="dxa"/>
                  <w:noWrap w:val="0"/>
                  <w:vAlign w:val="center"/>
                </w:tcPr>
                <w:p>
                  <w:pPr>
                    <w:pStyle w:val="53"/>
                    <w:ind w:firstLine="0" w:firstLineChars="0"/>
                    <w:rPr>
                      <w:rFonts w:hint="default" w:ascii="Times New Roman" w:hAnsi="Times New Roman" w:eastAsia="宋体" w:cs="Times New Roman"/>
                      <w:b w:val="0"/>
                      <w:color w:val="auto"/>
                      <w:kern w:val="2"/>
                      <w:sz w:val="18"/>
                      <w:szCs w:val="18"/>
                      <w:lang w:val="en-US" w:eastAsia="zh-CN" w:bidi="ar-SA"/>
                    </w:rPr>
                  </w:pPr>
                  <w:r>
                    <w:rPr>
                      <w:rFonts w:hint="eastAsia" w:cs="Times New Roman"/>
                      <w:b w:val="0"/>
                      <w:color w:val="auto"/>
                      <w:kern w:val="2"/>
                      <w:sz w:val="18"/>
                      <w:szCs w:val="18"/>
                      <w:lang w:val="en-US" w:eastAsia="zh-CN" w:bidi="ar-SA"/>
                    </w:rPr>
                    <w:t>1.8</w:t>
                  </w:r>
                </w:p>
              </w:tc>
              <w:tc>
                <w:tcPr>
                  <w:tcW w:w="1100" w:type="dxa"/>
                  <w:noWrap w:val="0"/>
                  <w:vAlign w:val="center"/>
                </w:tcPr>
                <w:p>
                  <w:pPr>
                    <w:pStyle w:val="53"/>
                    <w:ind w:firstLine="0" w:firstLineChars="0"/>
                    <w:rPr>
                      <w:rFonts w:hint="default" w:ascii="Times New Roman" w:hAnsi="Times New Roman" w:eastAsia="宋体" w:cs="Times New Roman"/>
                      <w:b w:val="0"/>
                      <w:color w:val="auto"/>
                      <w:kern w:val="2"/>
                      <w:sz w:val="18"/>
                      <w:szCs w:val="18"/>
                      <w:lang w:val="en-US" w:eastAsia="zh-CN" w:bidi="ar-SA"/>
                    </w:rPr>
                  </w:pPr>
                  <w:r>
                    <w:rPr>
                      <w:rFonts w:hint="eastAsia" w:cs="Times New Roman"/>
                      <w:b w:val="0"/>
                      <w:color w:val="auto"/>
                      <w:kern w:val="2"/>
                      <w:sz w:val="18"/>
                      <w:szCs w:val="18"/>
                      <w:lang w:val="en-US" w:eastAsia="zh-CN" w:bidi="ar-SA"/>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6" w:type="dxa"/>
                  <w:noWrap w:val="0"/>
                  <w:vAlign w:val="center"/>
                </w:tcPr>
                <w:p>
                  <w:pPr>
                    <w:pStyle w:val="53"/>
                    <w:ind w:firstLine="0" w:firstLineChars="0"/>
                    <w:rPr>
                      <w:rFonts w:hint="eastAsia" w:ascii="Times New Roman" w:hAnsi="Times New Roman" w:eastAsia="宋体" w:cs="Times New Roman"/>
                      <w:b w:val="0"/>
                      <w:color w:val="auto"/>
                      <w:kern w:val="2"/>
                      <w:sz w:val="18"/>
                      <w:szCs w:val="18"/>
                      <w:lang w:val="en-US" w:eastAsia="zh-CN" w:bidi="ar-SA"/>
                    </w:rPr>
                  </w:pPr>
                  <w:r>
                    <w:rPr>
                      <w:rFonts w:hint="default" w:ascii="Times New Roman" w:hAnsi="Times New Roman" w:cs="Times New Roman"/>
                      <w:color w:val="auto"/>
                      <w:sz w:val="18"/>
                      <w:szCs w:val="18"/>
                    </w:rPr>
                    <w:t>3</w:t>
                  </w:r>
                  <w:r>
                    <w:rPr>
                      <w:rFonts w:hint="eastAsia" w:cs="Times New Roman"/>
                      <w:color w:val="auto"/>
                      <w:sz w:val="18"/>
                      <w:szCs w:val="18"/>
                      <w:lang w:val="en-US" w:eastAsia="zh-CN"/>
                    </w:rPr>
                    <w:t>#</w:t>
                  </w:r>
                </w:p>
              </w:tc>
              <w:tc>
                <w:tcPr>
                  <w:tcW w:w="2187" w:type="dxa"/>
                  <w:noWrap w:val="0"/>
                  <w:vAlign w:val="center"/>
                </w:tcPr>
                <w:p>
                  <w:pPr>
                    <w:pStyle w:val="53"/>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探伤室南侧墙体外30cm</w:t>
                  </w:r>
                  <w:r>
                    <w:rPr>
                      <w:rFonts w:hint="eastAsia" w:cs="Times New Roman"/>
                      <w:color w:val="auto"/>
                      <w:sz w:val="18"/>
                      <w:szCs w:val="18"/>
                      <w:lang w:eastAsia="zh-CN"/>
                    </w:rPr>
                    <w:t>（</w:t>
                  </w:r>
                  <w:r>
                    <w:rPr>
                      <w:rFonts w:hint="eastAsia" w:cs="Times New Roman"/>
                      <w:color w:val="auto"/>
                      <w:sz w:val="18"/>
                      <w:szCs w:val="18"/>
                      <w:lang w:val="en-US" w:eastAsia="zh-CN"/>
                    </w:rPr>
                    <w:t>控制室内</w:t>
                  </w:r>
                  <w:r>
                    <w:rPr>
                      <w:rFonts w:hint="eastAsia" w:cs="Times New Roman"/>
                      <w:color w:val="auto"/>
                      <w:sz w:val="18"/>
                      <w:szCs w:val="18"/>
                      <w:lang w:eastAsia="zh-CN"/>
                    </w:rPr>
                    <w:t>）</w:t>
                  </w:r>
                </w:p>
              </w:tc>
              <w:tc>
                <w:tcPr>
                  <w:tcW w:w="585" w:type="dxa"/>
                  <w:vMerge w:val="continue"/>
                  <w:noWrap w:val="0"/>
                  <w:vAlign w:val="center"/>
                </w:tcPr>
                <w:p>
                  <w:pPr>
                    <w:pStyle w:val="53"/>
                    <w:rPr>
                      <w:rFonts w:hint="default" w:ascii="Times New Roman" w:hAnsi="Times New Roman" w:cs="Times New Roman"/>
                      <w:color w:val="auto"/>
                      <w:sz w:val="18"/>
                      <w:szCs w:val="18"/>
                    </w:rPr>
                  </w:pPr>
                </w:p>
              </w:tc>
              <w:tc>
                <w:tcPr>
                  <w:tcW w:w="413" w:type="dxa"/>
                  <w:noWrap w:val="0"/>
                  <w:vAlign w:val="center"/>
                </w:tcPr>
                <w:p>
                  <w:pPr>
                    <w:pStyle w:val="53"/>
                    <w:rPr>
                      <w:rFonts w:hint="eastAsia"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1</w:t>
                  </w:r>
                </w:p>
              </w:tc>
              <w:tc>
                <w:tcPr>
                  <w:tcW w:w="622" w:type="dxa"/>
                  <w:noWrap w:val="0"/>
                  <w:vAlign w:val="center"/>
                </w:tcPr>
                <w:p>
                  <w:pPr>
                    <w:pStyle w:val="53"/>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1</w:t>
                  </w:r>
                </w:p>
              </w:tc>
              <w:tc>
                <w:tcPr>
                  <w:tcW w:w="1001" w:type="dxa"/>
                  <w:noWrap w:val="0"/>
                  <w:vAlign w:val="center"/>
                </w:tcPr>
                <w:p>
                  <w:pPr>
                    <w:pStyle w:val="53"/>
                    <w:rPr>
                      <w:rFonts w:hint="default" w:ascii="Times New Roman" w:hAnsi="Times New Roman" w:cs="Times New Roman"/>
                      <w:color w:val="auto"/>
                      <w:sz w:val="18"/>
                      <w:szCs w:val="18"/>
                    </w:rPr>
                  </w:pPr>
                  <w:r>
                    <w:rPr>
                      <w:rFonts w:hint="eastAsia" w:cs="Times New Roman"/>
                      <w:color w:val="auto"/>
                      <w:sz w:val="18"/>
                      <w:szCs w:val="18"/>
                      <w:lang w:val="en-US" w:eastAsia="zh-CN"/>
                    </w:rPr>
                    <w:t>2.5</w:t>
                  </w:r>
                </w:p>
              </w:tc>
              <w:tc>
                <w:tcPr>
                  <w:tcW w:w="668" w:type="dxa"/>
                  <w:vMerge w:val="continue"/>
                  <w:noWrap w:val="0"/>
                  <w:vAlign w:val="center"/>
                </w:tcPr>
                <w:p>
                  <w:pPr>
                    <w:pStyle w:val="53"/>
                    <w:rPr>
                      <w:rFonts w:hint="default" w:ascii="Times New Roman" w:hAnsi="Times New Roman" w:cs="Times New Roman"/>
                      <w:color w:val="auto"/>
                      <w:sz w:val="18"/>
                      <w:szCs w:val="18"/>
                    </w:rPr>
                  </w:pPr>
                </w:p>
              </w:tc>
              <w:tc>
                <w:tcPr>
                  <w:tcW w:w="1190" w:type="dxa"/>
                  <w:noWrap w:val="0"/>
                  <w:vAlign w:val="center"/>
                </w:tcPr>
                <w:p>
                  <w:pPr>
                    <w:pStyle w:val="53"/>
                    <w:ind w:firstLine="0" w:firstLineChars="0"/>
                    <w:rPr>
                      <w:rFonts w:hint="default" w:ascii="Times New Roman" w:hAnsi="Times New Roman" w:eastAsia="宋体" w:cs="Times New Roman"/>
                      <w:b w:val="0"/>
                      <w:color w:val="auto"/>
                      <w:kern w:val="2"/>
                      <w:sz w:val="18"/>
                      <w:szCs w:val="18"/>
                      <w:lang w:val="en-US" w:eastAsia="zh-CN" w:bidi="ar-SA"/>
                    </w:rPr>
                  </w:pPr>
                  <w:r>
                    <w:rPr>
                      <w:rFonts w:hint="eastAsia" w:cs="Times New Roman"/>
                      <w:b w:val="0"/>
                      <w:color w:val="auto"/>
                      <w:kern w:val="2"/>
                      <w:sz w:val="18"/>
                      <w:szCs w:val="18"/>
                      <w:lang w:val="en-US" w:eastAsia="zh-CN" w:bidi="ar-SA"/>
                    </w:rPr>
                    <w:t>1.8</w:t>
                  </w:r>
                </w:p>
              </w:tc>
              <w:tc>
                <w:tcPr>
                  <w:tcW w:w="1100" w:type="dxa"/>
                  <w:noWrap w:val="0"/>
                  <w:vAlign w:val="center"/>
                </w:tcPr>
                <w:p>
                  <w:pPr>
                    <w:pStyle w:val="53"/>
                    <w:ind w:firstLine="0" w:firstLineChars="0"/>
                    <w:rPr>
                      <w:rFonts w:hint="default" w:ascii="Times New Roman" w:hAnsi="Times New Roman" w:eastAsia="宋体" w:cs="Times New Roman"/>
                      <w:b w:val="0"/>
                      <w:color w:val="auto"/>
                      <w:kern w:val="2"/>
                      <w:sz w:val="18"/>
                      <w:szCs w:val="18"/>
                      <w:lang w:val="en-US" w:eastAsia="zh-CN" w:bidi="ar-SA"/>
                    </w:rPr>
                  </w:pPr>
                  <w:r>
                    <w:rPr>
                      <w:rFonts w:hint="eastAsia" w:cs="Times New Roman"/>
                      <w:b w:val="0"/>
                      <w:color w:val="auto"/>
                      <w:kern w:val="2"/>
                      <w:sz w:val="18"/>
                      <w:szCs w:val="18"/>
                      <w:lang w:val="en-US" w:eastAsia="zh-CN" w:bidi="ar-SA"/>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6" w:type="dxa"/>
                  <w:noWrap w:val="0"/>
                  <w:vAlign w:val="center"/>
                </w:tcPr>
                <w:p>
                  <w:pPr>
                    <w:pStyle w:val="53"/>
                    <w:ind w:firstLine="0" w:firstLineChars="0"/>
                    <w:rPr>
                      <w:rFonts w:hint="eastAsia" w:ascii="Times New Roman" w:hAnsi="Times New Roman" w:eastAsia="宋体" w:cs="Times New Roman"/>
                      <w:b w:val="0"/>
                      <w:color w:val="auto"/>
                      <w:kern w:val="2"/>
                      <w:sz w:val="18"/>
                      <w:szCs w:val="18"/>
                      <w:lang w:val="en-US" w:eastAsia="zh-CN" w:bidi="ar-SA"/>
                    </w:rPr>
                  </w:pPr>
                  <w:r>
                    <w:rPr>
                      <w:rFonts w:hint="default" w:ascii="Times New Roman" w:hAnsi="Times New Roman" w:cs="Times New Roman"/>
                      <w:color w:val="auto"/>
                      <w:sz w:val="18"/>
                      <w:szCs w:val="18"/>
                    </w:rPr>
                    <w:t>4</w:t>
                  </w:r>
                  <w:r>
                    <w:rPr>
                      <w:rFonts w:hint="eastAsia" w:cs="Times New Roman"/>
                      <w:color w:val="auto"/>
                      <w:sz w:val="18"/>
                      <w:szCs w:val="18"/>
                      <w:lang w:val="en-US" w:eastAsia="zh-CN"/>
                    </w:rPr>
                    <w:t>#</w:t>
                  </w:r>
                </w:p>
              </w:tc>
              <w:tc>
                <w:tcPr>
                  <w:tcW w:w="2187" w:type="dxa"/>
                  <w:noWrap w:val="0"/>
                  <w:vAlign w:val="center"/>
                </w:tcPr>
                <w:p>
                  <w:pPr>
                    <w:pStyle w:val="53"/>
                    <w:ind w:firstLine="0" w:firstLineChars="0"/>
                    <w:rPr>
                      <w:rFonts w:hint="default" w:ascii="Times New Roman" w:hAnsi="Times New Roman" w:eastAsia="宋体" w:cs="Times New Roman"/>
                      <w:b w:val="0"/>
                      <w:color w:val="auto"/>
                      <w:kern w:val="2"/>
                      <w:sz w:val="18"/>
                      <w:szCs w:val="18"/>
                      <w:lang w:val="en-US" w:eastAsia="zh-CN" w:bidi="ar-SA"/>
                    </w:rPr>
                  </w:pPr>
                  <w:r>
                    <w:rPr>
                      <w:rFonts w:hint="default" w:ascii="Times New Roman" w:hAnsi="Times New Roman" w:cs="Times New Roman"/>
                      <w:color w:val="auto"/>
                      <w:sz w:val="18"/>
                      <w:szCs w:val="18"/>
                    </w:rPr>
                    <w:t>探伤室东侧墙体外30cm</w:t>
                  </w:r>
                  <w:r>
                    <w:rPr>
                      <w:rFonts w:hint="eastAsia" w:cs="Times New Roman"/>
                      <w:color w:val="auto"/>
                      <w:sz w:val="18"/>
                      <w:szCs w:val="18"/>
                      <w:lang w:eastAsia="zh-CN"/>
                    </w:rPr>
                    <w:t>（</w:t>
                  </w:r>
                  <w:r>
                    <w:rPr>
                      <w:rFonts w:hint="eastAsia" w:cs="Times New Roman"/>
                      <w:color w:val="auto"/>
                      <w:sz w:val="18"/>
                      <w:szCs w:val="18"/>
                      <w:lang w:val="en-US" w:eastAsia="zh-CN"/>
                    </w:rPr>
                    <w:t>设备生产车间内</w:t>
                  </w:r>
                  <w:r>
                    <w:rPr>
                      <w:rFonts w:hint="eastAsia" w:cs="Times New Roman"/>
                      <w:color w:val="auto"/>
                      <w:sz w:val="18"/>
                      <w:szCs w:val="18"/>
                      <w:lang w:eastAsia="zh-CN"/>
                    </w:rPr>
                    <w:t>）</w:t>
                  </w:r>
                </w:p>
              </w:tc>
              <w:tc>
                <w:tcPr>
                  <w:tcW w:w="585" w:type="dxa"/>
                  <w:vMerge w:val="restart"/>
                  <w:noWrap w:val="0"/>
                  <w:vAlign w:val="center"/>
                </w:tcPr>
                <w:p>
                  <w:pPr>
                    <w:pStyle w:val="53"/>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公众</w:t>
                  </w:r>
                </w:p>
              </w:tc>
              <w:tc>
                <w:tcPr>
                  <w:tcW w:w="413" w:type="dxa"/>
                  <w:noWrap w:val="0"/>
                  <w:vAlign w:val="center"/>
                </w:tcPr>
                <w:p>
                  <w:pPr>
                    <w:pStyle w:val="53"/>
                    <w:rPr>
                      <w:rFonts w:hint="default" w:cs="Times New Roman"/>
                      <w:color w:val="auto"/>
                      <w:sz w:val="18"/>
                      <w:szCs w:val="18"/>
                      <w:lang w:val="en-US" w:eastAsia="zh-CN"/>
                    </w:rPr>
                  </w:pPr>
                  <w:r>
                    <w:rPr>
                      <w:rFonts w:hint="eastAsia" w:cs="Times New Roman"/>
                      <w:color w:val="auto"/>
                      <w:sz w:val="18"/>
                      <w:szCs w:val="18"/>
                      <w:lang w:val="en-US" w:eastAsia="zh-CN"/>
                    </w:rPr>
                    <w:t>1</w:t>
                  </w:r>
                </w:p>
              </w:tc>
              <w:tc>
                <w:tcPr>
                  <w:tcW w:w="622" w:type="dxa"/>
                  <w:noWrap w:val="0"/>
                  <w:vAlign w:val="center"/>
                </w:tcPr>
                <w:p>
                  <w:pPr>
                    <w:pStyle w:val="53"/>
                    <w:rPr>
                      <w:rFonts w:hint="default" w:cs="Times New Roman"/>
                      <w:color w:val="auto"/>
                      <w:sz w:val="18"/>
                      <w:szCs w:val="18"/>
                      <w:lang w:val="en-US" w:eastAsia="zh-CN"/>
                    </w:rPr>
                  </w:pPr>
                  <w:r>
                    <w:rPr>
                      <w:rFonts w:hint="eastAsia" w:cs="Times New Roman"/>
                      <w:color w:val="auto"/>
                      <w:sz w:val="18"/>
                      <w:szCs w:val="18"/>
                      <w:lang w:val="en-US" w:eastAsia="zh-CN"/>
                    </w:rPr>
                    <w:t>1</w:t>
                  </w:r>
                </w:p>
              </w:tc>
              <w:tc>
                <w:tcPr>
                  <w:tcW w:w="1001" w:type="dxa"/>
                  <w:noWrap w:val="0"/>
                  <w:vAlign w:val="center"/>
                </w:tcPr>
                <w:p>
                  <w:pPr>
                    <w:pStyle w:val="53"/>
                    <w:rPr>
                      <w:rFonts w:hint="default" w:cs="Times New Roman"/>
                      <w:color w:val="auto"/>
                      <w:sz w:val="18"/>
                      <w:szCs w:val="18"/>
                      <w:lang w:val="en-US" w:eastAsia="zh-CN"/>
                    </w:rPr>
                  </w:pPr>
                  <w:r>
                    <w:rPr>
                      <w:rFonts w:hint="eastAsia" w:cs="Times New Roman"/>
                      <w:color w:val="auto"/>
                      <w:sz w:val="18"/>
                      <w:szCs w:val="18"/>
                      <w:lang w:val="en-US" w:eastAsia="zh-CN"/>
                    </w:rPr>
                    <w:t>2.5</w:t>
                  </w:r>
                </w:p>
              </w:tc>
              <w:tc>
                <w:tcPr>
                  <w:tcW w:w="668" w:type="dxa"/>
                  <w:vMerge w:val="continue"/>
                  <w:noWrap w:val="0"/>
                  <w:vAlign w:val="center"/>
                </w:tcPr>
                <w:p>
                  <w:pPr>
                    <w:pStyle w:val="53"/>
                    <w:rPr>
                      <w:rFonts w:hint="default" w:ascii="Times New Roman" w:hAnsi="Times New Roman" w:cs="Times New Roman"/>
                      <w:color w:val="auto"/>
                      <w:sz w:val="18"/>
                      <w:szCs w:val="18"/>
                    </w:rPr>
                  </w:pPr>
                </w:p>
              </w:tc>
              <w:tc>
                <w:tcPr>
                  <w:tcW w:w="1190" w:type="dxa"/>
                  <w:noWrap w:val="0"/>
                  <w:vAlign w:val="center"/>
                </w:tcPr>
                <w:p>
                  <w:pPr>
                    <w:pStyle w:val="53"/>
                    <w:ind w:firstLine="0" w:firstLineChars="0"/>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3.8</w:t>
                  </w:r>
                </w:p>
              </w:tc>
              <w:tc>
                <w:tcPr>
                  <w:tcW w:w="1100" w:type="dxa"/>
                  <w:noWrap w:val="0"/>
                  <w:vAlign w:val="center"/>
                </w:tcPr>
                <w:p>
                  <w:pPr>
                    <w:pStyle w:val="53"/>
                    <w:ind w:firstLine="0" w:firstLineChars="0"/>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6" w:type="dxa"/>
                  <w:noWrap w:val="0"/>
                  <w:vAlign w:val="center"/>
                </w:tcPr>
                <w:p>
                  <w:pPr>
                    <w:pStyle w:val="53"/>
                    <w:ind w:firstLine="0" w:firstLineChars="0"/>
                    <w:rPr>
                      <w:rFonts w:hint="eastAsia" w:ascii="Times New Roman" w:hAnsi="Times New Roman" w:eastAsia="宋体" w:cs="Times New Roman"/>
                      <w:b w:val="0"/>
                      <w:color w:val="auto"/>
                      <w:kern w:val="2"/>
                      <w:sz w:val="18"/>
                      <w:szCs w:val="18"/>
                      <w:lang w:val="en-US" w:eastAsia="zh-CN" w:bidi="ar-SA"/>
                    </w:rPr>
                  </w:pPr>
                  <w:r>
                    <w:rPr>
                      <w:rFonts w:hint="default" w:ascii="Times New Roman" w:hAnsi="Times New Roman" w:cs="Times New Roman"/>
                      <w:color w:val="auto"/>
                      <w:sz w:val="18"/>
                      <w:szCs w:val="18"/>
                    </w:rPr>
                    <w:t>5</w:t>
                  </w:r>
                  <w:r>
                    <w:rPr>
                      <w:rFonts w:hint="eastAsia" w:cs="Times New Roman"/>
                      <w:color w:val="auto"/>
                      <w:sz w:val="18"/>
                      <w:szCs w:val="18"/>
                      <w:lang w:val="en-US" w:eastAsia="zh-CN"/>
                    </w:rPr>
                    <w:t>#</w:t>
                  </w:r>
                </w:p>
              </w:tc>
              <w:tc>
                <w:tcPr>
                  <w:tcW w:w="2187" w:type="dxa"/>
                  <w:noWrap w:val="0"/>
                  <w:vAlign w:val="center"/>
                </w:tcPr>
                <w:p>
                  <w:pPr>
                    <w:pStyle w:val="53"/>
                    <w:ind w:firstLine="0" w:firstLineChars="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探伤室西侧墙体外30cm</w:t>
                  </w:r>
                </w:p>
                <w:p>
                  <w:pPr>
                    <w:pStyle w:val="53"/>
                    <w:ind w:firstLine="0" w:firstLineChars="0"/>
                    <w:rPr>
                      <w:rFonts w:hint="eastAsia" w:ascii="Times New Roman" w:hAnsi="Times New Roman" w:eastAsia="宋体" w:cs="Times New Roman"/>
                      <w:b w:val="0"/>
                      <w:color w:val="auto"/>
                      <w:kern w:val="2"/>
                      <w:sz w:val="18"/>
                      <w:szCs w:val="18"/>
                      <w:lang w:val="en-US" w:eastAsia="zh-CN" w:bidi="ar-SA"/>
                    </w:rPr>
                  </w:pPr>
                  <w:r>
                    <w:rPr>
                      <w:rFonts w:hint="eastAsia" w:cs="Times New Roman"/>
                      <w:color w:val="auto"/>
                      <w:sz w:val="18"/>
                      <w:szCs w:val="18"/>
                      <w:lang w:eastAsia="zh-CN"/>
                    </w:rPr>
                    <w:t>（</w:t>
                  </w:r>
                  <w:r>
                    <w:rPr>
                      <w:rFonts w:hint="eastAsia" w:cs="Times New Roman"/>
                      <w:color w:val="auto"/>
                      <w:sz w:val="18"/>
                      <w:szCs w:val="18"/>
                      <w:lang w:val="en-US" w:eastAsia="zh-CN"/>
                    </w:rPr>
                    <w:t>设备生产车间内</w:t>
                  </w:r>
                  <w:r>
                    <w:rPr>
                      <w:rFonts w:hint="eastAsia" w:cs="Times New Roman"/>
                      <w:color w:val="auto"/>
                      <w:sz w:val="18"/>
                      <w:szCs w:val="18"/>
                      <w:lang w:eastAsia="zh-CN"/>
                    </w:rPr>
                    <w:t>）</w:t>
                  </w:r>
                </w:p>
              </w:tc>
              <w:tc>
                <w:tcPr>
                  <w:tcW w:w="585" w:type="dxa"/>
                  <w:vMerge w:val="continue"/>
                  <w:noWrap w:val="0"/>
                  <w:vAlign w:val="center"/>
                </w:tcPr>
                <w:p>
                  <w:pPr>
                    <w:pStyle w:val="53"/>
                    <w:rPr>
                      <w:rFonts w:hint="default" w:ascii="Times New Roman" w:hAnsi="Times New Roman" w:cs="Times New Roman"/>
                      <w:color w:val="auto"/>
                      <w:sz w:val="18"/>
                      <w:szCs w:val="18"/>
                    </w:rPr>
                  </w:pPr>
                </w:p>
              </w:tc>
              <w:tc>
                <w:tcPr>
                  <w:tcW w:w="413" w:type="dxa"/>
                  <w:noWrap w:val="0"/>
                  <w:vAlign w:val="center"/>
                </w:tcPr>
                <w:p>
                  <w:pPr>
                    <w:pStyle w:val="53"/>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w:t>
                  </w:r>
                </w:p>
              </w:tc>
              <w:tc>
                <w:tcPr>
                  <w:tcW w:w="622" w:type="dxa"/>
                  <w:noWrap w:val="0"/>
                  <w:vAlign w:val="center"/>
                </w:tcPr>
                <w:p>
                  <w:pPr>
                    <w:pStyle w:val="53"/>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w:t>
                  </w:r>
                </w:p>
              </w:tc>
              <w:tc>
                <w:tcPr>
                  <w:tcW w:w="1001" w:type="dxa"/>
                  <w:noWrap w:val="0"/>
                  <w:vAlign w:val="center"/>
                </w:tcPr>
                <w:p>
                  <w:pPr>
                    <w:pStyle w:val="53"/>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2.5</w:t>
                  </w:r>
                </w:p>
              </w:tc>
              <w:tc>
                <w:tcPr>
                  <w:tcW w:w="668" w:type="dxa"/>
                  <w:vMerge w:val="continue"/>
                  <w:noWrap w:val="0"/>
                  <w:vAlign w:val="center"/>
                </w:tcPr>
                <w:p>
                  <w:pPr>
                    <w:pStyle w:val="53"/>
                    <w:rPr>
                      <w:rFonts w:hint="default" w:ascii="Times New Roman" w:hAnsi="Times New Roman" w:cs="Times New Roman"/>
                      <w:color w:val="auto"/>
                      <w:sz w:val="18"/>
                      <w:szCs w:val="18"/>
                    </w:rPr>
                  </w:pPr>
                </w:p>
              </w:tc>
              <w:tc>
                <w:tcPr>
                  <w:tcW w:w="1190" w:type="dxa"/>
                  <w:noWrap w:val="0"/>
                  <w:vAlign w:val="center"/>
                </w:tcPr>
                <w:p>
                  <w:pPr>
                    <w:pStyle w:val="53"/>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1.8</w:t>
                  </w:r>
                </w:p>
              </w:tc>
              <w:tc>
                <w:tcPr>
                  <w:tcW w:w="1100" w:type="dxa"/>
                  <w:noWrap w:val="0"/>
                  <w:vAlign w:val="center"/>
                </w:tcPr>
                <w:p>
                  <w:pPr>
                    <w:pStyle w:val="53"/>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46" w:type="dxa"/>
                  <w:noWrap w:val="0"/>
                  <w:vAlign w:val="center"/>
                </w:tcPr>
                <w:p>
                  <w:pPr>
                    <w:pStyle w:val="53"/>
                    <w:ind w:firstLine="0" w:firstLineChars="0"/>
                    <w:rPr>
                      <w:rFonts w:hint="eastAsia" w:ascii="Times New Roman" w:hAnsi="Times New Roman" w:eastAsia="宋体" w:cs="Times New Roman"/>
                      <w:b w:val="0"/>
                      <w:color w:val="auto"/>
                      <w:kern w:val="2"/>
                      <w:sz w:val="18"/>
                      <w:szCs w:val="18"/>
                      <w:lang w:val="en-US" w:eastAsia="zh-CN" w:bidi="ar-SA"/>
                    </w:rPr>
                  </w:pPr>
                  <w:r>
                    <w:rPr>
                      <w:rFonts w:hint="default" w:ascii="Times New Roman" w:hAnsi="Times New Roman" w:cs="Times New Roman"/>
                      <w:color w:val="auto"/>
                      <w:sz w:val="18"/>
                      <w:szCs w:val="18"/>
                    </w:rPr>
                    <w:t>6</w:t>
                  </w:r>
                  <w:r>
                    <w:rPr>
                      <w:rFonts w:hint="eastAsia" w:cs="Times New Roman"/>
                      <w:color w:val="auto"/>
                      <w:sz w:val="18"/>
                      <w:szCs w:val="18"/>
                      <w:lang w:val="en-US" w:eastAsia="zh-CN"/>
                    </w:rPr>
                    <w:t>#</w:t>
                  </w:r>
                </w:p>
              </w:tc>
              <w:tc>
                <w:tcPr>
                  <w:tcW w:w="2187" w:type="dxa"/>
                  <w:noWrap w:val="0"/>
                  <w:vAlign w:val="center"/>
                </w:tcPr>
                <w:p>
                  <w:pPr>
                    <w:pStyle w:val="53"/>
                    <w:ind w:firstLine="0" w:firstLineChars="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大铅门外30cm</w:t>
                  </w:r>
                </w:p>
                <w:p>
                  <w:pPr>
                    <w:pStyle w:val="53"/>
                    <w:ind w:firstLine="0" w:firstLineChars="0"/>
                    <w:rPr>
                      <w:rFonts w:hint="default" w:ascii="Times New Roman" w:hAnsi="Times New Roman" w:eastAsia="宋体" w:cs="Times New Roman"/>
                      <w:b w:val="0"/>
                      <w:color w:val="auto"/>
                      <w:kern w:val="2"/>
                      <w:sz w:val="18"/>
                      <w:szCs w:val="18"/>
                      <w:lang w:val="en-US" w:eastAsia="zh-CN" w:bidi="ar-SA"/>
                    </w:rPr>
                  </w:pPr>
                  <w:r>
                    <w:rPr>
                      <w:rFonts w:hint="eastAsia" w:cs="Times New Roman"/>
                      <w:color w:val="auto"/>
                      <w:sz w:val="18"/>
                      <w:szCs w:val="18"/>
                      <w:lang w:eastAsia="zh-CN"/>
                    </w:rPr>
                    <w:t>（</w:t>
                  </w:r>
                  <w:r>
                    <w:rPr>
                      <w:rFonts w:hint="eastAsia" w:cs="Times New Roman"/>
                      <w:color w:val="auto"/>
                      <w:sz w:val="18"/>
                      <w:szCs w:val="18"/>
                      <w:lang w:val="en-US" w:eastAsia="zh-CN"/>
                    </w:rPr>
                    <w:t>设备生产车间入口处</w:t>
                  </w:r>
                  <w:r>
                    <w:rPr>
                      <w:rFonts w:hint="eastAsia" w:cs="Times New Roman"/>
                      <w:color w:val="auto"/>
                      <w:sz w:val="18"/>
                      <w:szCs w:val="18"/>
                      <w:lang w:eastAsia="zh-CN"/>
                    </w:rPr>
                    <w:t>）</w:t>
                  </w:r>
                </w:p>
              </w:tc>
              <w:tc>
                <w:tcPr>
                  <w:tcW w:w="585" w:type="dxa"/>
                  <w:vMerge w:val="continue"/>
                  <w:noWrap w:val="0"/>
                  <w:vAlign w:val="center"/>
                </w:tcPr>
                <w:p>
                  <w:pPr>
                    <w:pStyle w:val="53"/>
                    <w:rPr>
                      <w:rFonts w:hint="default" w:ascii="Times New Roman" w:hAnsi="Times New Roman" w:cs="Times New Roman"/>
                      <w:color w:val="auto"/>
                      <w:sz w:val="18"/>
                      <w:szCs w:val="18"/>
                    </w:rPr>
                  </w:pPr>
                </w:p>
              </w:tc>
              <w:tc>
                <w:tcPr>
                  <w:tcW w:w="413" w:type="dxa"/>
                  <w:noWrap w:val="0"/>
                  <w:vAlign w:val="center"/>
                </w:tcPr>
                <w:p>
                  <w:pPr>
                    <w:pStyle w:val="53"/>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w:t>
                  </w:r>
                </w:p>
              </w:tc>
              <w:tc>
                <w:tcPr>
                  <w:tcW w:w="622" w:type="dxa"/>
                  <w:noWrap w:val="0"/>
                  <w:vAlign w:val="center"/>
                </w:tcPr>
                <w:p>
                  <w:pPr>
                    <w:pStyle w:val="53"/>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w:t>
                  </w:r>
                </w:p>
              </w:tc>
              <w:tc>
                <w:tcPr>
                  <w:tcW w:w="1001" w:type="dxa"/>
                  <w:noWrap w:val="0"/>
                  <w:vAlign w:val="center"/>
                </w:tcPr>
                <w:p>
                  <w:pPr>
                    <w:pStyle w:val="53"/>
                    <w:rPr>
                      <w:rFonts w:hint="default" w:ascii="Times New Roman" w:hAnsi="Times New Roman" w:cs="Times New Roman"/>
                      <w:color w:val="auto"/>
                      <w:sz w:val="18"/>
                      <w:szCs w:val="18"/>
                    </w:rPr>
                  </w:pPr>
                  <w:r>
                    <w:rPr>
                      <w:rFonts w:hint="eastAsia" w:cs="Times New Roman"/>
                      <w:color w:val="auto"/>
                      <w:sz w:val="18"/>
                      <w:szCs w:val="18"/>
                      <w:lang w:val="en-US" w:eastAsia="zh-CN"/>
                    </w:rPr>
                    <w:t>2.5</w:t>
                  </w:r>
                </w:p>
              </w:tc>
              <w:tc>
                <w:tcPr>
                  <w:tcW w:w="668" w:type="dxa"/>
                  <w:vMerge w:val="continue"/>
                  <w:noWrap w:val="0"/>
                  <w:vAlign w:val="center"/>
                </w:tcPr>
                <w:p>
                  <w:pPr>
                    <w:pStyle w:val="53"/>
                    <w:rPr>
                      <w:rFonts w:hint="default" w:ascii="Times New Roman" w:hAnsi="Times New Roman" w:cs="Times New Roman"/>
                      <w:color w:val="auto"/>
                      <w:sz w:val="18"/>
                      <w:szCs w:val="18"/>
                    </w:rPr>
                  </w:pPr>
                </w:p>
              </w:tc>
              <w:tc>
                <w:tcPr>
                  <w:tcW w:w="1190" w:type="dxa"/>
                  <w:noWrap w:val="0"/>
                  <w:vAlign w:val="center"/>
                </w:tcPr>
                <w:p>
                  <w:pPr>
                    <w:pStyle w:val="53"/>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1.8</w:t>
                  </w:r>
                </w:p>
              </w:tc>
              <w:tc>
                <w:tcPr>
                  <w:tcW w:w="1100" w:type="dxa"/>
                  <w:noWrap w:val="0"/>
                  <w:vAlign w:val="center"/>
                </w:tcPr>
                <w:p>
                  <w:pPr>
                    <w:pStyle w:val="53"/>
                    <w:rPr>
                      <w:rFonts w:hint="default" w:cs="Times New Roman"/>
                      <w:color w:val="auto"/>
                      <w:sz w:val="18"/>
                      <w:szCs w:val="18"/>
                      <w:lang w:val="en-US" w:eastAsia="zh-CN"/>
                    </w:rPr>
                  </w:pPr>
                  <w:r>
                    <w:rPr>
                      <w:rFonts w:hint="eastAsia" w:cs="Times New Roman"/>
                      <w:color w:val="auto"/>
                      <w:sz w:val="18"/>
                      <w:szCs w:val="18"/>
                      <w:lang w:val="en-US" w:eastAsia="zh-CN"/>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46" w:type="dxa"/>
                  <w:noWrap w:val="0"/>
                  <w:vAlign w:val="center"/>
                </w:tcPr>
                <w:p>
                  <w:pPr>
                    <w:pStyle w:val="53"/>
                    <w:ind w:firstLine="0" w:firstLineChars="0"/>
                    <w:rPr>
                      <w:rFonts w:hint="eastAsia" w:ascii="Times New Roman" w:hAnsi="Times New Roman" w:eastAsia="宋体" w:cs="Times New Roman"/>
                      <w:b w:val="0"/>
                      <w:color w:val="auto"/>
                      <w:kern w:val="2"/>
                      <w:sz w:val="18"/>
                      <w:szCs w:val="18"/>
                      <w:lang w:val="en-US" w:eastAsia="zh-CN" w:bidi="ar-SA"/>
                    </w:rPr>
                  </w:pPr>
                  <w:r>
                    <w:rPr>
                      <w:rFonts w:hint="default" w:ascii="Times New Roman" w:hAnsi="Times New Roman" w:cs="Times New Roman"/>
                      <w:color w:val="auto"/>
                      <w:sz w:val="18"/>
                      <w:szCs w:val="18"/>
                    </w:rPr>
                    <w:t>7</w:t>
                  </w:r>
                  <w:r>
                    <w:rPr>
                      <w:rFonts w:hint="eastAsia" w:cs="Times New Roman"/>
                      <w:color w:val="auto"/>
                      <w:sz w:val="18"/>
                      <w:szCs w:val="18"/>
                      <w:lang w:val="en-US" w:eastAsia="zh-CN"/>
                    </w:rPr>
                    <w:t>#</w:t>
                  </w:r>
                </w:p>
              </w:tc>
              <w:tc>
                <w:tcPr>
                  <w:tcW w:w="2187" w:type="dxa"/>
                  <w:noWrap w:val="0"/>
                  <w:vAlign w:val="center"/>
                </w:tcPr>
                <w:p>
                  <w:pPr>
                    <w:pStyle w:val="53"/>
                    <w:ind w:firstLine="0" w:firstLineChars="0"/>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设备生产车间西侧道路</w:t>
                  </w:r>
                </w:p>
              </w:tc>
              <w:tc>
                <w:tcPr>
                  <w:tcW w:w="585" w:type="dxa"/>
                  <w:vMerge w:val="continue"/>
                  <w:noWrap w:val="0"/>
                  <w:vAlign w:val="center"/>
                </w:tcPr>
                <w:p>
                  <w:pPr>
                    <w:pStyle w:val="53"/>
                    <w:rPr>
                      <w:rFonts w:hint="default" w:ascii="Times New Roman" w:hAnsi="Times New Roman" w:cs="Times New Roman"/>
                      <w:color w:val="auto"/>
                      <w:sz w:val="18"/>
                      <w:szCs w:val="18"/>
                    </w:rPr>
                  </w:pPr>
                </w:p>
              </w:tc>
              <w:tc>
                <w:tcPr>
                  <w:tcW w:w="413" w:type="dxa"/>
                  <w:noWrap w:val="0"/>
                  <w:vAlign w:val="center"/>
                </w:tcPr>
                <w:p>
                  <w:pPr>
                    <w:pStyle w:val="53"/>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w:t>
                  </w:r>
                </w:p>
              </w:tc>
              <w:tc>
                <w:tcPr>
                  <w:tcW w:w="622" w:type="dxa"/>
                  <w:noWrap w:val="0"/>
                  <w:vAlign w:val="center"/>
                </w:tcPr>
                <w:p>
                  <w:pPr>
                    <w:pStyle w:val="53"/>
                    <w:rPr>
                      <w:rFonts w:hint="default" w:ascii="Times New Roman" w:hAnsi="Times New Roman" w:cs="Times New Roman"/>
                      <w:color w:val="auto"/>
                      <w:sz w:val="18"/>
                      <w:szCs w:val="18"/>
                    </w:rPr>
                  </w:pPr>
                  <w:r>
                    <w:rPr>
                      <w:rFonts w:hint="eastAsia" w:cs="Times New Roman"/>
                      <w:color w:val="auto"/>
                      <w:sz w:val="18"/>
                      <w:szCs w:val="18"/>
                      <w:lang w:val="en-US" w:eastAsia="zh-CN"/>
                    </w:rPr>
                    <w:t>1/8</w:t>
                  </w:r>
                </w:p>
              </w:tc>
              <w:tc>
                <w:tcPr>
                  <w:tcW w:w="1001" w:type="dxa"/>
                  <w:noWrap w:val="0"/>
                  <w:vAlign w:val="center"/>
                </w:tcPr>
                <w:p>
                  <w:pPr>
                    <w:pStyle w:val="53"/>
                    <w:rPr>
                      <w:rFonts w:hint="default" w:ascii="Times New Roman" w:hAnsi="Times New Roman" w:cs="Times New Roman"/>
                      <w:color w:val="auto"/>
                      <w:sz w:val="18"/>
                      <w:szCs w:val="18"/>
                    </w:rPr>
                  </w:pPr>
                  <w:r>
                    <w:rPr>
                      <w:rFonts w:hint="eastAsia" w:cs="Times New Roman"/>
                      <w:color w:val="auto"/>
                      <w:sz w:val="18"/>
                      <w:szCs w:val="18"/>
                      <w:lang w:val="en-US" w:eastAsia="zh-CN"/>
                    </w:rPr>
                    <w:t>2.5</w:t>
                  </w:r>
                  <w:r>
                    <w:rPr>
                      <w:rFonts w:hint="default" w:ascii="Times New Roman" w:hAnsi="Times New Roman" w:cs="Times New Roman"/>
                      <w:color w:val="auto"/>
                      <w:sz w:val="18"/>
                      <w:szCs w:val="18"/>
                    </w:rPr>
                    <w:t xml:space="preserve"> </w:t>
                  </w:r>
                </w:p>
              </w:tc>
              <w:tc>
                <w:tcPr>
                  <w:tcW w:w="668" w:type="dxa"/>
                  <w:vMerge w:val="continue"/>
                  <w:noWrap w:val="0"/>
                  <w:vAlign w:val="center"/>
                </w:tcPr>
                <w:p>
                  <w:pPr>
                    <w:pStyle w:val="53"/>
                    <w:rPr>
                      <w:rFonts w:hint="default" w:ascii="Times New Roman" w:hAnsi="Times New Roman" w:cs="Times New Roman"/>
                      <w:color w:val="auto"/>
                      <w:sz w:val="18"/>
                      <w:szCs w:val="18"/>
                    </w:rPr>
                  </w:pPr>
                </w:p>
              </w:tc>
              <w:tc>
                <w:tcPr>
                  <w:tcW w:w="1190" w:type="dxa"/>
                  <w:noWrap w:val="0"/>
                  <w:vAlign w:val="center"/>
                </w:tcPr>
                <w:p>
                  <w:pPr>
                    <w:pStyle w:val="53"/>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4.8</w:t>
                  </w:r>
                </w:p>
              </w:tc>
              <w:tc>
                <w:tcPr>
                  <w:tcW w:w="1100" w:type="dxa"/>
                  <w:noWrap w:val="0"/>
                  <w:vAlign w:val="center"/>
                </w:tcPr>
                <w:p>
                  <w:pPr>
                    <w:pStyle w:val="53"/>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46" w:type="dxa"/>
                  <w:noWrap w:val="0"/>
                  <w:vAlign w:val="center"/>
                </w:tcPr>
                <w:p>
                  <w:pPr>
                    <w:pStyle w:val="53"/>
                    <w:ind w:firstLine="0" w:firstLineChars="0"/>
                    <w:rPr>
                      <w:rFonts w:hint="eastAsia" w:ascii="Times New Roman" w:hAnsi="Times New Roman" w:eastAsia="宋体" w:cs="Times New Roman"/>
                      <w:b w:val="0"/>
                      <w:color w:val="auto"/>
                      <w:kern w:val="2"/>
                      <w:sz w:val="18"/>
                      <w:szCs w:val="18"/>
                      <w:lang w:val="en-US" w:eastAsia="zh-CN" w:bidi="ar-SA"/>
                    </w:rPr>
                  </w:pPr>
                  <w:r>
                    <w:rPr>
                      <w:rFonts w:hint="default" w:ascii="Times New Roman" w:hAnsi="Times New Roman" w:cs="Times New Roman"/>
                      <w:color w:val="auto"/>
                      <w:sz w:val="18"/>
                      <w:szCs w:val="18"/>
                    </w:rPr>
                    <w:t>8</w:t>
                  </w:r>
                  <w:r>
                    <w:rPr>
                      <w:rFonts w:hint="eastAsia" w:cs="Times New Roman"/>
                      <w:color w:val="auto"/>
                      <w:sz w:val="18"/>
                      <w:szCs w:val="18"/>
                      <w:lang w:val="en-US" w:eastAsia="zh-CN"/>
                    </w:rPr>
                    <w:t>#</w:t>
                  </w:r>
                </w:p>
              </w:tc>
              <w:tc>
                <w:tcPr>
                  <w:tcW w:w="2187" w:type="dxa"/>
                  <w:noWrap w:val="0"/>
                  <w:vAlign w:val="center"/>
                </w:tcPr>
                <w:p>
                  <w:pPr>
                    <w:pStyle w:val="53"/>
                    <w:ind w:firstLine="0" w:firstLineChars="0"/>
                    <w:rPr>
                      <w:rFonts w:hint="eastAsia" w:cs="Times New Roman"/>
                      <w:color w:val="auto"/>
                      <w:sz w:val="18"/>
                      <w:szCs w:val="18"/>
                      <w:lang w:val="en-US" w:eastAsia="zh-CN"/>
                    </w:rPr>
                  </w:pPr>
                  <w:r>
                    <w:rPr>
                      <w:rFonts w:hint="eastAsia" w:cs="Times New Roman"/>
                      <w:color w:val="auto"/>
                      <w:sz w:val="18"/>
                      <w:szCs w:val="18"/>
                      <w:lang w:val="en-US" w:eastAsia="zh-CN"/>
                    </w:rPr>
                    <w:t>设备生产车间东侧道路</w:t>
                  </w:r>
                </w:p>
              </w:tc>
              <w:tc>
                <w:tcPr>
                  <w:tcW w:w="585" w:type="dxa"/>
                  <w:vMerge w:val="continue"/>
                  <w:noWrap w:val="0"/>
                  <w:vAlign w:val="center"/>
                </w:tcPr>
                <w:p>
                  <w:pPr>
                    <w:pStyle w:val="53"/>
                    <w:rPr>
                      <w:rFonts w:hint="default" w:ascii="Times New Roman" w:hAnsi="Times New Roman" w:cs="Times New Roman"/>
                      <w:color w:val="auto"/>
                      <w:sz w:val="18"/>
                      <w:szCs w:val="18"/>
                    </w:rPr>
                  </w:pPr>
                </w:p>
              </w:tc>
              <w:tc>
                <w:tcPr>
                  <w:tcW w:w="413" w:type="dxa"/>
                  <w:noWrap w:val="0"/>
                  <w:vAlign w:val="center"/>
                </w:tcPr>
                <w:p>
                  <w:pPr>
                    <w:pStyle w:val="53"/>
                    <w:rPr>
                      <w:rFonts w:hint="eastAsia"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1</w:t>
                  </w:r>
                </w:p>
              </w:tc>
              <w:tc>
                <w:tcPr>
                  <w:tcW w:w="622" w:type="dxa"/>
                  <w:noWrap w:val="0"/>
                  <w:vAlign w:val="center"/>
                </w:tcPr>
                <w:p>
                  <w:pPr>
                    <w:pStyle w:val="53"/>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1/8</w:t>
                  </w:r>
                </w:p>
              </w:tc>
              <w:tc>
                <w:tcPr>
                  <w:tcW w:w="1001" w:type="dxa"/>
                  <w:noWrap w:val="0"/>
                  <w:vAlign w:val="center"/>
                </w:tcPr>
                <w:p>
                  <w:pPr>
                    <w:pStyle w:val="53"/>
                    <w:rPr>
                      <w:rFonts w:hint="default" w:ascii="Times New Roman" w:hAnsi="Times New Roman" w:cs="Times New Roman"/>
                      <w:color w:val="auto"/>
                      <w:sz w:val="18"/>
                      <w:szCs w:val="18"/>
                    </w:rPr>
                  </w:pPr>
                  <w:r>
                    <w:rPr>
                      <w:rFonts w:hint="eastAsia" w:cs="Times New Roman"/>
                      <w:color w:val="auto"/>
                      <w:sz w:val="18"/>
                      <w:szCs w:val="18"/>
                      <w:lang w:val="en-US" w:eastAsia="zh-CN"/>
                    </w:rPr>
                    <w:t>2.5</w:t>
                  </w:r>
                </w:p>
              </w:tc>
              <w:tc>
                <w:tcPr>
                  <w:tcW w:w="668" w:type="dxa"/>
                  <w:vMerge w:val="continue"/>
                  <w:noWrap w:val="0"/>
                  <w:vAlign w:val="center"/>
                </w:tcPr>
                <w:p>
                  <w:pPr>
                    <w:pStyle w:val="53"/>
                    <w:rPr>
                      <w:rFonts w:hint="default" w:ascii="Times New Roman" w:hAnsi="Times New Roman" w:cs="Times New Roman"/>
                      <w:color w:val="auto"/>
                      <w:sz w:val="18"/>
                      <w:szCs w:val="18"/>
                    </w:rPr>
                  </w:pPr>
                </w:p>
              </w:tc>
              <w:tc>
                <w:tcPr>
                  <w:tcW w:w="1190" w:type="dxa"/>
                  <w:noWrap w:val="0"/>
                  <w:vAlign w:val="center"/>
                </w:tcPr>
                <w:p>
                  <w:pPr>
                    <w:pStyle w:val="53"/>
                    <w:rPr>
                      <w:rFonts w:hint="default" w:cs="Times New Roman"/>
                      <w:color w:val="auto"/>
                      <w:sz w:val="18"/>
                      <w:szCs w:val="18"/>
                      <w:lang w:val="en-US" w:eastAsia="zh-CN"/>
                    </w:rPr>
                  </w:pPr>
                  <w:r>
                    <w:rPr>
                      <w:rFonts w:hint="eastAsia" w:cs="Times New Roman"/>
                      <w:color w:val="auto"/>
                      <w:sz w:val="18"/>
                      <w:szCs w:val="18"/>
                      <w:lang w:val="en-US" w:eastAsia="zh-CN"/>
                    </w:rPr>
                    <w:t>40</w:t>
                  </w:r>
                </w:p>
              </w:tc>
              <w:tc>
                <w:tcPr>
                  <w:tcW w:w="1100" w:type="dxa"/>
                  <w:noWrap w:val="0"/>
                  <w:vAlign w:val="center"/>
                </w:tcPr>
                <w:p>
                  <w:pPr>
                    <w:pStyle w:val="53"/>
                    <w:rPr>
                      <w:rFonts w:hint="default" w:cs="Times New Roman"/>
                      <w:color w:val="auto"/>
                      <w:sz w:val="18"/>
                      <w:szCs w:val="18"/>
                      <w:lang w:val="en-US" w:eastAsia="zh-CN"/>
                    </w:rPr>
                  </w:pPr>
                  <w:r>
                    <w:rPr>
                      <w:rFonts w:hint="eastAsia" w:cs="Times New Roman"/>
                      <w:color w:val="auto"/>
                      <w:sz w:val="18"/>
                      <w:szCs w:val="18"/>
                      <w:lang w:val="en-US" w:eastAsia="zh-CN"/>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46" w:type="dxa"/>
                  <w:noWrap w:val="0"/>
                  <w:vAlign w:val="center"/>
                </w:tcPr>
                <w:p>
                  <w:pPr>
                    <w:pStyle w:val="53"/>
                    <w:ind w:firstLine="0" w:firstLineChars="0"/>
                    <w:rPr>
                      <w:rFonts w:hint="eastAsia" w:ascii="Times New Roman" w:hAnsi="Times New Roman" w:eastAsia="宋体" w:cs="Times New Roman"/>
                      <w:b w:val="0"/>
                      <w:color w:val="auto"/>
                      <w:kern w:val="2"/>
                      <w:sz w:val="18"/>
                      <w:szCs w:val="18"/>
                      <w:lang w:val="en-US" w:eastAsia="zh-CN" w:bidi="ar-SA"/>
                    </w:rPr>
                  </w:pPr>
                  <w:r>
                    <w:rPr>
                      <w:rFonts w:hint="default" w:ascii="Times New Roman" w:hAnsi="Times New Roman" w:cs="Times New Roman"/>
                      <w:color w:val="auto"/>
                      <w:sz w:val="18"/>
                      <w:szCs w:val="18"/>
                    </w:rPr>
                    <w:t>9</w:t>
                  </w:r>
                  <w:r>
                    <w:rPr>
                      <w:rFonts w:hint="eastAsia" w:cs="Times New Roman"/>
                      <w:color w:val="auto"/>
                      <w:sz w:val="18"/>
                      <w:szCs w:val="18"/>
                      <w:lang w:val="en-US" w:eastAsia="zh-CN"/>
                    </w:rPr>
                    <w:t>#</w:t>
                  </w:r>
                </w:p>
              </w:tc>
              <w:tc>
                <w:tcPr>
                  <w:tcW w:w="2187" w:type="dxa"/>
                  <w:noWrap w:val="0"/>
                  <w:vAlign w:val="center"/>
                </w:tcPr>
                <w:p>
                  <w:pPr>
                    <w:pStyle w:val="53"/>
                    <w:ind w:firstLine="0" w:firstLineChars="0"/>
                    <w:rPr>
                      <w:rFonts w:hint="default" w:ascii="Times New Roman" w:hAnsi="Times New Roman" w:eastAsia="宋体" w:cs="Times New Roman"/>
                      <w:b w:val="0"/>
                      <w:color w:val="auto"/>
                      <w:kern w:val="2"/>
                      <w:sz w:val="18"/>
                      <w:szCs w:val="18"/>
                      <w:lang w:val="en-US" w:eastAsia="zh-CN" w:bidi="ar-SA"/>
                    </w:rPr>
                  </w:pPr>
                  <w:r>
                    <w:rPr>
                      <w:rFonts w:hint="eastAsia" w:cs="Times New Roman"/>
                      <w:color w:val="auto"/>
                      <w:sz w:val="18"/>
                      <w:szCs w:val="18"/>
                      <w:lang w:val="en-US" w:eastAsia="zh-CN"/>
                    </w:rPr>
                    <w:t>设备生产车间南侧磅房</w:t>
                  </w:r>
                </w:p>
              </w:tc>
              <w:tc>
                <w:tcPr>
                  <w:tcW w:w="585" w:type="dxa"/>
                  <w:vMerge w:val="continue"/>
                  <w:noWrap w:val="0"/>
                  <w:vAlign w:val="center"/>
                </w:tcPr>
                <w:p>
                  <w:pPr>
                    <w:pStyle w:val="53"/>
                    <w:rPr>
                      <w:rFonts w:hint="default" w:ascii="Times New Roman" w:hAnsi="Times New Roman" w:cs="Times New Roman"/>
                      <w:color w:val="auto"/>
                      <w:sz w:val="18"/>
                      <w:szCs w:val="18"/>
                    </w:rPr>
                  </w:pPr>
                </w:p>
              </w:tc>
              <w:tc>
                <w:tcPr>
                  <w:tcW w:w="413" w:type="dxa"/>
                  <w:noWrap w:val="0"/>
                  <w:vAlign w:val="center"/>
                </w:tcPr>
                <w:p>
                  <w:pPr>
                    <w:pStyle w:val="53"/>
                    <w:rPr>
                      <w:rFonts w:hint="eastAsia"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1</w:t>
                  </w:r>
                </w:p>
              </w:tc>
              <w:tc>
                <w:tcPr>
                  <w:tcW w:w="622" w:type="dxa"/>
                  <w:noWrap w:val="0"/>
                  <w:vAlign w:val="center"/>
                </w:tcPr>
                <w:p>
                  <w:pPr>
                    <w:pStyle w:val="53"/>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1/4</w:t>
                  </w:r>
                </w:p>
              </w:tc>
              <w:tc>
                <w:tcPr>
                  <w:tcW w:w="1001" w:type="dxa"/>
                  <w:noWrap w:val="0"/>
                  <w:vAlign w:val="center"/>
                </w:tcPr>
                <w:p>
                  <w:pPr>
                    <w:pStyle w:val="53"/>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2.5</w:t>
                  </w:r>
                </w:p>
              </w:tc>
              <w:tc>
                <w:tcPr>
                  <w:tcW w:w="668" w:type="dxa"/>
                  <w:vMerge w:val="continue"/>
                  <w:noWrap w:val="0"/>
                  <w:vAlign w:val="center"/>
                </w:tcPr>
                <w:p>
                  <w:pPr>
                    <w:pStyle w:val="53"/>
                    <w:rPr>
                      <w:rFonts w:hint="default" w:ascii="Times New Roman" w:hAnsi="Times New Roman" w:cs="Times New Roman"/>
                      <w:color w:val="auto"/>
                      <w:sz w:val="18"/>
                      <w:szCs w:val="18"/>
                    </w:rPr>
                  </w:pPr>
                </w:p>
              </w:tc>
              <w:tc>
                <w:tcPr>
                  <w:tcW w:w="1190" w:type="dxa"/>
                  <w:noWrap w:val="0"/>
                  <w:vAlign w:val="center"/>
                </w:tcPr>
                <w:p>
                  <w:pPr>
                    <w:pStyle w:val="53"/>
                    <w:rPr>
                      <w:rFonts w:hint="default" w:cs="Times New Roman"/>
                      <w:color w:val="auto"/>
                      <w:sz w:val="18"/>
                      <w:szCs w:val="18"/>
                      <w:lang w:val="en-US" w:eastAsia="zh-CN"/>
                    </w:rPr>
                  </w:pPr>
                  <w:r>
                    <w:rPr>
                      <w:rFonts w:hint="eastAsia" w:cs="Times New Roman"/>
                      <w:color w:val="auto"/>
                      <w:sz w:val="18"/>
                      <w:szCs w:val="18"/>
                      <w:lang w:val="en-US" w:eastAsia="zh-CN"/>
                    </w:rPr>
                    <w:t>40</w:t>
                  </w:r>
                </w:p>
              </w:tc>
              <w:tc>
                <w:tcPr>
                  <w:tcW w:w="1100" w:type="dxa"/>
                  <w:noWrap w:val="0"/>
                  <w:vAlign w:val="center"/>
                </w:tcPr>
                <w:p>
                  <w:pPr>
                    <w:pStyle w:val="53"/>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40.5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46" w:type="dxa"/>
                  <w:noWrap w:val="0"/>
                  <w:vAlign w:val="center"/>
                </w:tcPr>
                <w:p>
                  <w:pPr>
                    <w:pStyle w:val="53"/>
                    <w:ind w:firstLine="0" w:firstLineChars="0"/>
                    <w:rPr>
                      <w:rFonts w:hint="eastAsia" w:ascii="Times New Roman" w:hAnsi="Times New Roman" w:eastAsia="宋体" w:cs="Times New Roman"/>
                      <w:b w:val="0"/>
                      <w:color w:val="auto"/>
                      <w:kern w:val="2"/>
                      <w:sz w:val="18"/>
                      <w:szCs w:val="18"/>
                      <w:lang w:val="en-US" w:eastAsia="zh-CN" w:bidi="ar-SA"/>
                    </w:rPr>
                  </w:pPr>
                  <w:r>
                    <w:rPr>
                      <w:rFonts w:hint="default" w:ascii="Times New Roman" w:hAnsi="Times New Roman" w:cs="Times New Roman"/>
                      <w:color w:val="auto"/>
                      <w:sz w:val="18"/>
                      <w:szCs w:val="18"/>
                    </w:rPr>
                    <w:t>10</w:t>
                  </w:r>
                  <w:r>
                    <w:rPr>
                      <w:rFonts w:hint="eastAsia" w:cs="Times New Roman"/>
                      <w:color w:val="auto"/>
                      <w:sz w:val="18"/>
                      <w:szCs w:val="18"/>
                      <w:lang w:val="en-US" w:eastAsia="zh-CN"/>
                    </w:rPr>
                    <w:t>#</w:t>
                  </w:r>
                </w:p>
              </w:tc>
              <w:tc>
                <w:tcPr>
                  <w:tcW w:w="2187" w:type="dxa"/>
                  <w:noWrap w:val="0"/>
                  <w:vAlign w:val="center"/>
                </w:tcPr>
                <w:p>
                  <w:pPr>
                    <w:pStyle w:val="53"/>
                    <w:ind w:firstLine="0" w:firstLineChars="0"/>
                    <w:rPr>
                      <w:rFonts w:hint="default" w:ascii="Times New Roman" w:hAnsi="Times New Roman" w:eastAsia="宋体" w:cs="Times New Roman"/>
                      <w:b w:val="0"/>
                      <w:color w:val="auto"/>
                      <w:kern w:val="2"/>
                      <w:sz w:val="18"/>
                      <w:szCs w:val="18"/>
                      <w:lang w:val="en-US" w:eastAsia="zh-CN" w:bidi="ar-SA"/>
                    </w:rPr>
                  </w:pPr>
                  <w:r>
                    <w:rPr>
                      <w:rFonts w:hint="eastAsia" w:cs="Times New Roman"/>
                      <w:color w:val="auto"/>
                      <w:sz w:val="18"/>
                      <w:szCs w:val="18"/>
                      <w:lang w:val="en-US" w:eastAsia="zh-CN"/>
                    </w:rPr>
                    <w:t>探伤室</w:t>
                  </w:r>
                  <w:r>
                    <w:rPr>
                      <w:rFonts w:hint="default" w:ascii="Times New Roman" w:hAnsi="Times New Roman" w:cs="Times New Roman"/>
                      <w:color w:val="auto"/>
                      <w:sz w:val="18"/>
                      <w:szCs w:val="18"/>
                    </w:rPr>
                    <w:t>顶棚</w:t>
                  </w:r>
                </w:p>
              </w:tc>
              <w:tc>
                <w:tcPr>
                  <w:tcW w:w="585" w:type="dxa"/>
                  <w:vMerge w:val="continue"/>
                  <w:noWrap w:val="0"/>
                  <w:vAlign w:val="center"/>
                </w:tcPr>
                <w:p>
                  <w:pPr>
                    <w:pStyle w:val="53"/>
                    <w:rPr>
                      <w:rFonts w:hint="default" w:ascii="Times New Roman" w:hAnsi="Times New Roman" w:cs="Times New Roman"/>
                      <w:color w:val="auto"/>
                      <w:sz w:val="18"/>
                      <w:szCs w:val="18"/>
                    </w:rPr>
                  </w:pPr>
                </w:p>
              </w:tc>
              <w:tc>
                <w:tcPr>
                  <w:tcW w:w="413" w:type="dxa"/>
                  <w:noWrap w:val="0"/>
                  <w:vAlign w:val="center"/>
                </w:tcPr>
                <w:p>
                  <w:pPr>
                    <w:pStyle w:val="53"/>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w:t>
                  </w:r>
                </w:p>
              </w:tc>
              <w:tc>
                <w:tcPr>
                  <w:tcW w:w="622" w:type="dxa"/>
                  <w:noWrap w:val="0"/>
                  <w:vAlign w:val="center"/>
                </w:tcPr>
                <w:p>
                  <w:pPr>
                    <w:pStyle w:val="53"/>
                    <w:rPr>
                      <w:rFonts w:hint="eastAsia" w:ascii="Times New Roman" w:hAnsi="Times New Roman" w:eastAsia="宋体" w:cs="Times New Roman"/>
                      <w:color w:val="auto"/>
                      <w:sz w:val="18"/>
                      <w:szCs w:val="18"/>
                      <w:lang w:eastAsia="zh-CN"/>
                    </w:rPr>
                  </w:pPr>
                  <w:r>
                    <w:rPr>
                      <w:rFonts w:hint="eastAsia" w:cs="Times New Roman"/>
                      <w:color w:val="auto"/>
                      <w:sz w:val="18"/>
                      <w:szCs w:val="18"/>
                      <w:lang w:val="en-US" w:eastAsia="zh-CN"/>
                    </w:rPr>
                    <w:t>/</w:t>
                  </w:r>
                </w:p>
              </w:tc>
              <w:tc>
                <w:tcPr>
                  <w:tcW w:w="1001" w:type="dxa"/>
                  <w:noWrap w:val="0"/>
                  <w:vAlign w:val="center"/>
                </w:tcPr>
                <w:p>
                  <w:pPr>
                    <w:pStyle w:val="53"/>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100</w:t>
                  </w:r>
                </w:p>
              </w:tc>
              <w:tc>
                <w:tcPr>
                  <w:tcW w:w="668" w:type="dxa"/>
                  <w:vMerge w:val="continue"/>
                  <w:noWrap w:val="0"/>
                  <w:vAlign w:val="center"/>
                </w:tcPr>
                <w:p>
                  <w:pPr>
                    <w:pStyle w:val="53"/>
                    <w:rPr>
                      <w:rFonts w:hint="default" w:ascii="Times New Roman" w:hAnsi="Times New Roman" w:cs="Times New Roman"/>
                      <w:color w:val="auto"/>
                      <w:sz w:val="18"/>
                      <w:szCs w:val="18"/>
                    </w:rPr>
                  </w:pPr>
                </w:p>
              </w:tc>
              <w:tc>
                <w:tcPr>
                  <w:tcW w:w="1190" w:type="dxa"/>
                  <w:noWrap w:val="0"/>
                  <w:vAlign w:val="center"/>
                </w:tcPr>
                <w:p>
                  <w:pPr>
                    <w:pStyle w:val="53"/>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1.5</w:t>
                  </w:r>
                </w:p>
              </w:tc>
              <w:tc>
                <w:tcPr>
                  <w:tcW w:w="1100" w:type="dxa"/>
                  <w:noWrap w:val="0"/>
                  <w:vAlign w:val="center"/>
                </w:tcPr>
                <w:p>
                  <w:pPr>
                    <w:pStyle w:val="53"/>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46" w:type="dxa"/>
                  <w:noWrap w:val="0"/>
                  <w:vAlign w:val="center"/>
                </w:tcPr>
                <w:p>
                  <w:pPr>
                    <w:pStyle w:val="53"/>
                    <w:ind w:firstLine="0" w:firstLineChars="0"/>
                    <w:rPr>
                      <w:rFonts w:hint="default" w:ascii="Times New Roman" w:hAnsi="Times New Roman" w:eastAsia="宋体" w:cs="Times New Roman"/>
                      <w:b w:val="0"/>
                      <w:color w:val="auto"/>
                      <w:kern w:val="2"/>
                      <w:sz w:val="18"/>
                      <w:szCs w:val="18"/>
                      <w:lang w:val="en-US" w:eastAsia="zh-CN" w:bidi="ar-SA"/>
                    </w:rPr>
                  </w:pPr>
                  <w:r>
                    <w:rPr>
                      <w:rFonts w:hint="default" w:ascii="Times New Roman" w:hAnsi="Times New Roman" w:cs="Times New Roman"/>
                      <w:color w:val="auto"/>
                      <w:sz w:val="18"/>
                      <w:szCs w:val="18"/>
                    </w:rPr>
                    <w:t>1</w:t>
                  </w:r>
                  <w:r>
                    <w:rPr>
                      <w:rFonts w:hint="eastAsia" w:cs="Times New Roman"/>
                      <w:color w:val="auto"/>
                      <w:sz w:val="18"/>
                      <w:szCs w:val="18"/>
                      <w:lang w:val="en-US" w:eastAsia="zh-CN"/>
                    </w:rPr>
                    <w:t>1#</w:t>
                  </w:r>
                </w:p>
              </w:tc>
              <w:tc>
                <w:tcPr>
                  <w:tcW w:w="2187" w:type="dxa"/>
                  <w:noWrap w:val="0"/>
                  <w:vAlign w:val="center"/>
                </w:tcPr>
                <w:p>
                  <w:pPr>
                    <w:pStyle w:val="53"/>
                    <w:rPr>
                      <w:rFonts w:hint="default" w:ascii="Times New Roman" w:hAnsi="Times New Roman" w:cs="Times New Roman"/>
                      <w:color w:val="auto"/>
                      <w:sz w:val="18"/>
                      <w:szCs w:val="18"/>
                    </w:rPr>
                  </w:pPr>
                  <w:r>
                    <w:rPr>
                      <w:rFonts w:hint="eastAsia" w:cs="Times New Roman"/>
                      <w:color w:val="auto"/>
                      <w:sz w:val="18"/>
                      <w:szCs w:val="18"/>
                      <w:lang w:val="en-US" w:eastAsia="zh-CN"/>
                    </w:rPr>
                    <w:t>北侧工业园厂房</w:t>
                  </w:r>
                </w:p>
              </w:tc>
              <w:tc>
                <w:tcPr>
                  <w:tcW w:w="585" w:type="dxa"/>
                  <w:vMerge w:val="continue"/>
                  <w:noWrap w:val="0"/>
                  <w:vAlign w:val="center"/>
                </w:tcPr>
                <w:p>
                  <w:pPr>
                    <w:pStyle w:val="53"/>
                    <w:rPr>
                      <w:rFonts w:hint="default" w:ascii="Times New Roman" w:hAnsi="Times New Roman" w:cs="Times New Roman"/>
                      <w:color w:val="auto"/>
                      <w:sz w:val="18"/>
                      <w:szCs w:val="18"/>
                    </w:rPr>
                  </w:pPr>
                </w:p>
              </w:tc>
              <w:tc>
                <w:tcPr>
                  <w:tcW w:w="413" w:type="dxa"/>
                  <w:noWrap w:val="0"/>
                  <w:vAlign w:val="center"/>
                </w:tcPr>
                <w:p>
                  <w:pPr>
                    <w:pStyle w:val="53"/>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w:t>
                  </w:r>
                </w:p>
              </w:tc>
              <w:tc>
                <w:tcPr>
                  <w:tcW w:w="622" w:type="dxa"/>
                  <w:noWrap w:val="0"/>
                  <w:vAlign w:val="center"/>
                </w:tcPr>
                <w:p>
                  <w:pPr>
                    <w:pStyle w:val="53"/>
                    <w:rPr>
                      <w:rFonts w:hint="eastAsia"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1</w:t>
                  </w:r>
                </w:p>
              </w:tc>
              <w:tc>
                <w:tcPr>
                  <w:tcW w:w="1001" w:type="dxa"/>
                  <w:noWrap w:val="0"/>
                  <w:vAlign w:val="center"/>
                </w:tcPr>
                <w:p>
                  <w:pPr>
                    <w:pStyle w:val="53"/>
                    <w:rPr>
                      <w:rFonts w:hint="default" w:ascii="Times New Roman" w:hAnsi="Times New Roman" w:cs="Times New Roman"/>
                      <w:color w:val="auto"/>
                      <w:sz w:val="18"/>
                      <w:szCs w:val="18"/>
                    </w:rPr>
                  </w:pPr>
                  <w:r>
                    <w:rPr>
                      <w:rFonts w:hint="eastAsia" w:cs="Times New Roman"/>
                      <w:color w:val="auto"/>
                      <w:sz w:val="18"/>
                      <w:szCs w:val="18"/>
                      <w:lang w:val="en-US" w:eastAsia="zh-CN"/>
                    </w:rPr>
                    <w:t>2.5</w:t>
                  </w:r>
                </w:p>
              </w:tc>
              <w:tc>
                <w:tcPr>
                  <w:tcW w:w="668" w:type="dxa"/>
                  <w:vMerge w:val="restart"/>
                  <w:noWrap w:val="0"/>
                  <w:vAlign w:val="center"/>
                </w:tcPr>
                <w:p>
                  <w:pPr>
                    <w:pStyle w:val="53"/>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主射</w:t>
                  </w:r>
                </w:p>
              </w:tc>
              <w:tc>
                <w:tcPr>
                  <w:tcW w:w="1190" w:type="dxa"/>
                  <w:noWrap w:val="0"/>
                  <w:vAlign w:val="center"/>
                </w:tcPr>
                <w:p>
                  <w:pPr>
                    <w:pStyle w:val="53"/>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40</w:t>
                  </w:r>
                </w:p>
              </w:tc>
              <w:tc>
                <w:tcPr>
                  <w:tcW w:w="1100" w:type="dxa"/>
                  <w:noWrap w:val="0"/>
                  <w:vAlign w:val="center"/>
                </w:tcPr>
                <w:p>
                  <w:pPr>
                    <w:pStyle w:val="53"/>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6" w:type="dxa"/>
                  <w:noWrap w:val="0"/>
                  <w:vAlign w:val="center"/>
                </w:tcPr>
                <w:p>
                  <w:pPr>
                    <w:pStyle w:val="53"/>
                    <w:ind w:firstLine="0" w:firstLineChars="0"/>
                    <w:rPr>
                      <w:rFonts w:hint="default" w:ascii="Times New Roman" w:hAnsi="Times New Roman" w:eastAsia="宋体" w:cs="Times New Roman"/>
                      <w:b w:val="0"/>
                      <w:color w:val="auto"/>
                      <w:kern w:val="2"/>
                      <w:sz w:val="18"/>
                      <w:szCs w:val="18"/>
                      <w:lang w:val="en-US" w:eastAsia="zh-CN" w:bidi="ar-SA"/>
                    </w:rPr>
                  </w:pPr>
                  <w:r>
                    <w:rPr>
                      <w:rFonts w:hint="eastAsia" w:cs="Times New Roman"/>
                      <w:color w:val="auto"/>
                      <w:sz w:val="18"/>
                      <w:szCs w:val="18"/>
                      <w:lang w:val="en-US" w:eastAsia="zh-CN"/>
                    </w:rPr>
                    <w:t>12#</w:t>
                  </w:r>
                </w:p>
              </w:tc>
              <w:tc>
                <w:tcPr>
                  <w:tcW w:w="2187" w:type="dxa"/>
                  <w:noWrap w:val="0"/>
                  <w:vAlign w:val="center"/>
                </w:tcPr>
                <w:p>
                  <w:pPr>
                    <w:pStyle w:val="53"/>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探伤室北侧墙体外30cm</w:t>
                  </w:r>
                </w:p>
                <w:p>
                  <w:pPr>
                    <w:pStyle w:val="53"/>
                    <w:rPr>
                      <w:rFonts w:hint="default" w:ascii="Times New Roman" w:hAnsi="Times New Roman" w:cs="Times New Roman"/>
                      <w:color w:val="auto"/>
                      <w:sz w:val="18"/>
                      <w:szCs w:val="18"/>
                    </w:rPr>
                  </w:pPr>
                  <w:r>
                    <w:rPr>
                      <w:rFonts w:hint="eastAsia" w:cs="Times New Roman"/>
                      <w:color w:val="auto"/>
                      <w:sz w:val="18"/>
                      <w:szCs w:val="18"/>
                      <w:lang w:eastAsia="zh-CN"/>
                    </w:rPr>
                    <w:t>（</w:t>
                  </w:r>
                  <w:r>
                    <w:rPr>
                      <w:rFonts w:hint="eastAsia" w:cs="Times New Roman"/>
                      <w:color w:val="auto"/>
                      <w:sz w:val="18"/>
                      <w:szCs w:val="18"/>
                      <w:lang w:val="en-US" w:eastAsia="zh-CN"/>
                    </w:rPr>
                    <w:t>设备生产车间内</w:t>
                  </w:r>
                  <w:r>
                    <w:rPr>
                      <w:rFonts w:hint="eastAsia" w:cs="Times New Roman"/>
                      <w:color w:val="auto"/>
                      <w:sz w:val="18"/>
                      <w:szCs w:val="18"/>
                      <w:lang w:eastAsia="zh-CN"/>
                    </w:rPr>
                    <w:t>）</w:t>
                  </w:r>
                </w:p>
              </w:tc>
              <w:tc>
                <w:tcPr>
                  <w:tcW w:w="585" w:type="dxa"/>
                  <w:vMerge w:val="continue"/>
                  <w:noWrap w:val="0"/>
                  <w:vAlign w:val="center"/>
                </w:tcPr>
                <w:p>
                  <w:pPr>
                    <w:pStyle w:val="53"/>
                    <w:rPr>
                      <w:rFonts w:hint="default" w:ascii="Times New Roman" w:hAnsi="Times New Roman" w:cs="Times New Roman"/>
                      <w:color w:val="auto"/>
                      <w:sz w:val="18"/>
                      <w:szCs w:val="18"/>
                    </w:rPr>
                  </w:pPr>
                </w:p>
              </w:tc>
              <w:tc>
                <w:tcPr>
                  <w:tcW w:w="413" w:type="dxa"/>
                  <w:noWrap w:val="0"/>
                  <w:vAlign w:val="center"/>
                </w:tcPr>
                <w:p>
                  <w:pPr>
                    <w:pStyle w:val="53"/>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w:t>
                  </w:r>
                </w:p>
              </w:tc>
              <w:tc>
                <w:tcPr>
                  <w:tcW w:w="622" w:type="dxa"/>
                  <w:noWrap w:val="0"/>
                  <w:vAlign w:val="center"/>
                </w:tcPr>
                <w:p>
                  <w:pPr>
                    <w:pStyle w:val="53"/>
                    <w:rPr>
                      <w:rFonts w:hint="default" w:ascii="Times New Roman" w:hAnsi="Times New Roman" w:eastAsia="宋体" w:cs="Times New Roman"/>
                      <w:color w:val="auto"/>
                      <w:sz w:val="18"/>
                      <w:szCs w:val="18"/>
                      <w:u w:val="single"/>
                      <w:lang w:val="en-US" w:eastAsia="zh-CN"/>
                    </w:rPr>
                  </w:pPr>
                  <w:r>
                    <w:rPr>
                      <w:rFonts w:hint="eastAsia" w:cs="Times New Roman"/>
                      <w:color w:val="auto"/>
                      <w:sz w:val="18"/>
                      <w:szCs w:val="18"/>
                      <w:u w:val="single"/>
                      <w:lang w:val="en-US" w:eastAsia="zh-CN"/>
                    </w:rPr>
                    <w:t>1</w:t>
                  </w:r>
                </w:p>
              </w:tc>
              <w:tc>
                <w:tcPr>
                  <w:tcW w:w="1001" w:type="dxa"/>
                  <w:noWrap w:val="0"/>
                  <w:vAlign w:val="center"/>
                </w:tcPr>
                <w:p>
                  <w:pPr>
                    <w:pStyle w:val="53"/>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2.5</w:t>
                  </w:r>
                </w:p>
              </w:tc>
              <w:tc>
                <w:tcPr>
                  <w:tcW w:w="668" w:type="dxa"/>
                  <w:vMerge w:val="continue"/>
                  <w:noWrap w:val="0"/>
                  <w:vAlign w:val="center"/>
                </w:tcPr>
                <w:p>
                  <w:pPr>
                    <w:pStyle w:val="53"/>
                    <w:rPr>
                      <w:rFonts w:hint="default" w:ascii="Times New Roman" w:hAnsi="Times New Roman" w:cs="Times New Roman"/>
                      <w:color w:val="auto"/>
                      <w:sz w:val="18"/>
                      <w:szCs w:val="18"/>
                    </w:rPr>
                  </w:pPr>
                </w:p>
              </w:tc>
              <w:tc>
                <w:tcPr>
                  <w:tcW w:w="1190" w:type="dxa"/>
                  <w:noWrap w:val="0"/>
                  <w:vAlign w:val="center"/>
                </w:tcPr>
                <w:p>
                  <w:pPr>
                    <w:pStyle w:val="53"/>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3.8</w:t>
                  </w:r>
                </w:p>
              </w:tc>
              <w:tc>
                <w:tcPr>
                  <w:tcW w:w="1100" w:type="dxa"/>
                  <w:noWrap w:val="0"/>
                  <w:vAlign w:val="center"/>
                </w:tcPr>
                <w:p>
                  <w:pPr>
                    <w:pStyle w:val="53"/>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6" w:type="dxa"/>
                  <w:noWrap w:val="0"/>
                  <w:vAlign w:val="center"/>
                </w:tcPr>
                <w:p>
                  <w:pPr>
                    <w:pStyle w:val="53"/>
                    <w:ind w:firstLine="0" w:firstLineChars="0"/>
                    <w:rPr>
                      <w:rFonts w:hint="default" w:ascii="Times New Roman" w:hAnsi="Times New Roman" w:eastAsia="宋体" w:cs="Times New Roman"/>
                      <w:b w:val="0"/>
                      <w:color w:val="auto"/>
                      <w:kern w:val="2"/>
                      <w:sz w:val="18"/>
                      <w:szCs w:val="18"/>
                      <w:lang w:val="en-US" w:eastAsia="zh-CN" w:bidi="ar-SA"/>
                    </w:rPr>
                  </w:pPr>
                  <w:r>
                    <w:rPr>
                      <w:rFonts w:hint="eastAsia" w:cs="Times New Roman"/>
                      <w:b w:val="0"/>
                      <w:color w:val="auto"/>
                      <w:kern w:val="2"/>
                      <w:sz w:val="18"/>
                      <w:szCs w:val="18"/>
                      <w:lang w:val="en-US" w:eastAsia="zh-CN" w:bidi="ar-SA"/>
                    </w:rPr>
                    <w:t>13#</w:t>
                  </w:r>
                </w:p>
              </w:tc>
              <w:tc>
                <w:tcPr>
                  <w:tcW w:w="2187" w:type="dxa"/>
                  <w:noWrap w:val="0"/>
                  <w:vAlign w:val="center"/>
                </w:tcPr>
                <w:p>
                  <w:pPr>
                    <w:pStyle w:val="53"/>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设备生产车间北侧道路</w:t>
                  </w:r>
                </w:p>
              </w:tc>
              <w:tc>
                <w:tcPr>
                  <w:tcW w:w="585" w:type="dxa"/>
                  <w:vMerge w:val="continue"/>
                  <w:noWrap w:val="0"/>
                  <w:vAlign w:val="center"/>
                </w:tcPr>
                <w:p>
                  <w:pPr>
                    <w:pStyle w:val="53"/>
                    <w:rPr>
                      <w:rFonts w:hint="default" w:ascii="Times New Roman" w:hAnsi="Times New Roman" w:cs="Times New Roman"/>
                      <w:color w:val="auto"/>
                      <w:sz w:val="18"/>
                      <w:szCs w:val="18"/>
                    </w:rPr>
                  </w:pPr>
                </w:p>
              </w:tc>
              <w:tc>
                <w:tcPr>
                  <w:tcW w:w="413" w:type="dxa"/>
                  <w:noWrap w:val="0"/>
                  <w:vAlign w:val="center"/>
                </w:tcPr>
                <w:p>
                  <w:pPr>
                    <w:pStyle w:val="53"/>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w:t>
                  </w:r>
                </w:p>
              </w:tc>
              <w:tc>
                <w:tcPr>
                  <w:tcW w:w="622" w:type="dxa"/>
                  <w:noWrap w:val="0"/>
                  <w:vAlign w:val="center"/>
                </w:tcPr>
                <w:p>
                  <w:pPr>
                    <w:bidi w:val="0"/>
                    <w:jc w:val="center"/>
                    <w:rPr>
                      <w:rFonts w:hint="default" w:ascii="Times New Roman" w:hAnsi="Times New Roman" w:cs="Times New Roman"/>
                      <w:color w:val="auto"/>
                      <w:sz w:val="18"/>
                      <w:szCs w:val="18"/>
                      <w:u w:val="single"/>
                    </w:rPr>
                  </w:pPr>
                  <w:r>
                    <w:rPr>
                      <w:rFonts w:hint="default" w:ascii="Times New Roman" w:hAnsi="Times New Roman" w:cs="Times New Roman"/>
                      <w:color w:val="auto"/>
                      <w:sz w:val="18"/>
                      <w:szCs w:val="18"/>
                      <w:u w:val="single"/>
                      <w:lang w:val="en-US" w:eastAsia="zh-CN"/>
                    </w:rPr>
                    <w:t>1/8</w:t>
                  </w:r>
                </w:p>
              </w:tc>
              <w:tc>
                <w:tcPr>
                  <w:tcW w:w="1001" w:type="dxa"/>
                  <w:noWrap w:val="0"/>
                  <w:vAlign w:val="center"/>
                </w:tcPr>
                <w:p>
                  <w:pPr>
                    <w:pStyle w:val="53"/>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2.5</w:t>
                  </w:r>
                </w:p>
              </w:tc>
              <w:tc>
                <w:tcPr>
                  <w:tcW w:w="668" w:type="dxa"/>
                  <w:vMerge w:val="continue"/>
                  <w:noWrap w:val="0"/>
                  <w:vAlign w:val="center"/>
                </w:tcPr>
                <w:p>
                  <w:pPr>
                    <w:pStyle w:val="53"/>
                    <w:rPr>
                      <w:rFonts w:hint="default" w:ascii="Times New Roman" w:hAnsi="Times New Roman" w:cs="Times New Roman"/>
                      <w:color w:val="auto"/>
                      <w:sz w:val="18"/>
                      <w:szCs w:val="18"/>
                    </w:rPr>
                  </w:pPr>
                </w:p>
              </w:tc>
              <w:tc>
                <w:tcPr>
                  <w:tcW w:w="1190" w:type="dxa"/>
                  <w:noWrap w:val="0"/>
                  <w:vAlign w:val="center"/>
                </w:tcPr>
                <w:p>
                  <w:pPr>
                    <w:pStyle w:val="53"/>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5</w:t>
                  </w:r>
                </w:p>
              </w:tc>
              <w:tc>
                <w:tcPr>
                  <w:tcW w:w="1100" w:type="dxa"/>
                  <w:noWrap w:val="0"/>
                  <w:vAlign w:val="center"/>
                </w:tcPr>
                <w:p>
                  <w:pPr>
                    <w:pStyle w:val="53"/>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w:t>
                  </w:r>
                </w:p>
              </w:tc>
            </w:tr>
          </w:tbl>
          <w:p>
            <w:pPr>
              <w:pStyle w:val="49"/>
              <w:spacing w:line="312" w:lineRule="auto"/>
              <w:ind w:firstLine="420" w:firstLineChars="200"/>
              <w:jc w:val="left"/>
              <w:rPr>
                <w:rFonts w:hint="default" w:ascii="Times New Roman" w:hAnsi="Times New Roman" w:eastAsia="宋体" w:cs="Times New Roman"/>
                <w:b w:val="0"/>
                <w:color w:val="auto"/>
                <w:sz w:val="21"/>
                <w:u w:val="single"/>
                <w:lang w:val="en-US" w:eastAsia="zh-CN"/>
              </w:rPr>
            </w:pPr>
            <w:r>
              <w:rPr>
                <w:rFonts w:hint="eastAsia" w:cs="Times New Roman"/>
                <w:b w:val="0"/>
                <w:color w:val="auto"/>
                <w:sz w:val="21"/>
                <w:u w:val="single"/>
                <w:lang w:val="en-US" w:eastAsia="zh-CN"/>
              </w:rPr>
              <w:t>备注</w:t>
            </w:r>
            <w:r>
              <w:rPr>
                <w:rFonts w:hint="default" w:ascii="Times New Roman" w:hAnsi="Times New Roman" w:cs="Times New Roman"/>
                <w:b w:val="0"/>
                <w:color w:val="auto"/>
                <w:sz w:val="21"/>
                <w:u w:val="single"/>
              </w:rPr>
              <w:t>：</w:t>
            </w:r>
            <w:r>
              <w:rPr>
                <w:rFonts w:hint="eastAsia" w:cs="Times New Roman"/>
                <w:b w:val="0"/>
                <w:color w:val="auto"/>
                <w:sz w:val="21"/>
                <w:u w:val="single"/>
                <w:lang w:val="en-US" w:eastAsia="zh-CN"/>
              </w:rPr>
              <w:t>本项目探伤机照射方向朝北，各关注点距离出束点的距离示意图</w:t>
            </w:r>
            <w:r>
              <w:rPr>
                <w:rFonts w:hint="eastAsia" w:cs="Times New Roman"/>
                <w:b/>
                <w:bCs/>
                <w:color w:val="auto"/>
                <w:sz w:val="21"/>
                <w:u w:val="single"/>
                <w:lang w:val="en-US" w:eastAsia="zh-CN"/>
              </w:rPr>
              <w:t>见附图4。</w:t>
            </w:r>
          </w:p>
          <w:p>
            <w:pPr>
              <w:pStyle w:val="28"/>
              <w:bidi w:val="0"/>
              <w:rPr>
                <w:rFonts w:hint="eastAsia"/>
                <w:color w:val="auto"/>
                <w:lang w:val="en-US" w:eastAsia="zh-CN"/>
              </w:rPr>
            </w:pPr>
            <w:r>
              <w:rPr>
                <w:rFonts w:hint="default"/>
                <w:color w:val="auto"/>
              </w:rPr>
              <w:t>屏蔽效果核实情况见表11-6。</w:t>
            </w:r>
          </w:p>
          <w:p>
            <w:pPr>
              <w:pStyle w:val="49"/>
              <w:rPr>
                <w:rFonts w:hint="default" w:ascii="Times New Roman" w:hAnsi="Times New Roman" w:cs="Times New Roman"/>
                <w:color w:val="auto"/>
              </w:rPr>
            </w:pPr>
          </w:p>
          <w:p>
            <w:pPr>
              <w:pStyle w:val="49"/>
              <w:rPr>
                <w:rFonts w:hint="default" w:ascii="Times New Roman" w:hAnsi="Times New Roman" w:cs="Times New Roman"/>
                <w:color w:val="auto"/>
              </w:rPr>
            </w:pPr>
          </w:p>
          <w:p>
            <w:pPr>
              <w:pStyle w:val="49"/>
              <w:rPr>
                <w:rFonts w:hint="default" w:ascii="Times New Roman" w:hAnsi="Times New Roman" w:cs="Times New Roman"/>
                <w:color w:val="auto"/>
              </w:rPr>
            </w:pPr>
          </w:p>
          <w:p>
            <w:pPr>
              <w:pStyle w:val="49"/>
              <w:rPr>
                <w:rFonts w:hint="default" w:ascii="Times New Roman" w:hAnsi="Times New Roman" w:cs="Times New Roman"/>
                <w:color w:val="auto"/>
              </w:rPr>
            </w:pPr>
            <w:r>
              <w:rPr>
                <w:rFonts w:hint="default" w:ascii="Times New Roman" w:hAnsi="Times New Roman" w:cs="Times New Roman"/>
                <w:color w:val="auto"/>
              </w:rPr>
              <w:t>表11-6屏蔽效果核实结果</w:t>
            </w:r>
          </w:p>
          <w:tbl>
            <w:tblPr>
              <w:tblStyle w:val="23"/>
              <w:tblW w:w="82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17"/>
              <w:gridCol w:w="650"/>
              <w:gridCol w:w="684"/>
              <w:gridCol w:w="666"/>
              <w:gridCol w:w="967"/>
              <w:gridCol w:w="1044"/>
              <w:gridCol w:w="1044"/>
              <w:gridCol w:w="10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117" w:type="dxa"/>
                  <w:vMerge w:val="restart"/>
                  <w:noWrap w:val="0"/>
                  <w:vAlign w:val="center"/>
                </w:tcPr>
                <w:p>
                  <w:pPr>
                    <w:pStyle w:val="53"/>
                    <w:jc w:val="center"/>
                    <w:rPr>
                      <w:rFonts w:hint="default" w:ascii="Times New Roman" w:hAnsi="Times New Roman" w:cs="Times New Roman"/>
                      <w:color w:val="auto"/>
                      <w:sz w:val="18"/>
                      <w:szCs w:val="18"/>
                      <w:u w:val="single"/>
                    </w:rPr>
                  </w:pPr>
                  <w:r>
                    <w:rPr>
                      <w:rFonts w:hint="default" w:ascii="Times New Roman" w:hAnsi="Times New Roman" w:cs="Times New Roman"/>
                      <w:color w:val="auto"/>
                      <w:sz w:val="18"/>
                      <w:szCs w:val="18"/>
                      <w:u w:val="single"/>
                    </w:rPr>
                    <w:t>关注点</w:t>
                  </w:r>
                </w:p>
              </w:tc>
              <w:tc>
                <w:tcPr>
                  <w:tcW w:w="2000" w:type="dxa"/>
                  <w:gridSpan w:val="3"/>
                  <w:noWrap w:val="0"/>
                  <w:vAlign w:val="center"/>
                </w:tcPr>
                <w:p>
                  <w:pPr>
                    <w:pStyle w:val="53"/>
                    <w:jc w:val="center"/>
                    <w:rPr>
                      <w:rFonts w:hint="default" w:ascii="Times New Roman" w:hAnsi="Times New Roman" w:cs="Times New Roman"/>
                      <w:color w:val="auto"/>
                      <w:sz w:val="18"/>
                      <w:szCs w:val="18"/>
                      <w:u w:val="single"/>
                    </w:rPr>
                  </w:pPr>
                  <w:r>
                    <w:rPr>
                      <w:rFonts w:hint="default" w:ascii="Times New Roman" w:hAnsi="Times New Roman" w:cs="Times New Roman"/>
                      <w:color w:val="auto"/>
                      <w:sz w:val="18"/>
                      <w:szCs w:val="18"/>
                      <w:u w:val="single"/>
                    </w:rPr>
                    <w:t>理论计算所需要的混凝土/铅门厚度（mm）</w:t>
                  </w:r>
                </w:p>
              </w:tc>
              <w:tc>
                <w:tcPr>
                  <w:tcW w:w="967" w:type="dxa"/>
                  <w:vMerge w:val="restart"/>
                  <w:noWrap w:val="0"/>
                  <w:vAlign w:val="center"/>
                </w:tcPr>
                <w:p>
                  <w:pPr>
                    <w:pStyle w:val="53"/>
                    <w:jc w:val="center"/>
                    <w:rPr>
                      <w:rFonts w:hint="default" w:ascii="Times New Roman" w:hAnsi="Times New Roman" w:cs="Times New Roman"/>
                      <w:color w:val="auto"/>
                      <w:sz w:val="18"/>
                      <w:szCs w:val="18"/>
                      <w:u w:val="single"/>
                    </w:rPr>
                  </w:pPr>
                  <w:r>
                    <w:rPr>
                      <w:rFonts w:hint="default" w:ascii="Times New Roman" w:hAnsi="Times New Roman" w:cs="Times New Roman"/>
                      <w:color w:val="auto"/>
                      <w:sz w:val="18"/>
                      <w:szCs w:val="18"/>
                      <w:u w:val="single"/>
                    </w:rPr>
                    <w:t>设计混凝土/铅门厚度（mm）</w:t>
                  </w:r>
                </w:p>
              </w:tc>
              <w:tc>
                <w:tcPr>
                  <w:tcW w:w="3133" w:type="dxa"/>
                  <w:gridSpan w:val="3"/>
                  <w:noWrap w:val="0"/>
                  <w:vAlign w:val="center"/>
                </w:tcPr>
                <w:p>
                  <w:pPr>
                    <w:pStyle w:val="53"/>
                    <w:jc w:val="center"/>
                    <w:rPr>
                      <w:rFonts w:hint="default" w:ascii="Times New Roman" w:hAnsi="Times New Roman" w:cs="Times New Roman"/>
                      <w:color w:val="auto"/>
                      <w:sz w:val="18"/>
                      <w:szCs w:val="18"/>
                      <w:u w:val="single"/>
                    </w:rPr>
                  </w:pPr>
                  <w:r>
                    <w:rPr>
                      <w:rFonts w:hint="default" w:ascii="Times New Roman" w:hAnsi="Times New Roman" w:cs="Times New Roman"/>
                      <w:color w:val="auto"/>
                      <w:sz w:val="18"/>
                      <w:szCs w:val="18"/>
                      <w:u w:val="single"/>
                    </w:rPr>
                    <w:t>设计厚度下的瞬时剂量（μSv/h）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2117" w:type="dxa"/>
                  <w:vMerge w:val="continue"/>
                  <w:noWrap w:val="0"/>
                  <w:vAlign w:val="center"/>
                </w:tcPr>
                <w:p>
                  <w:pPr>
                    <w:pStyle w:val="53"/>
                    <w:jc w:val="center"/>
                    <w:rPr>
                      <w:rFonts w:hint="default" w:ascii="Times New Roman" w:hAnsi="Times New Roman" w:cs="Times New Roman"/>
                      <w:color w:val="auto"/>
                      <w:sz w:val="18"/>
                      <w:szCs w:val="18"/>
                      <w:u w:val="single"/>
                    </w:rPr>
                  </w:pPr>
                </w:p>
              </w:tc>
              <w:tc>
                <w:tcPr>
                  <w:tcW w:w="650" w:type="dxa"/>
                  <w:noWrap w:val="0"/>
                  <w:vAlign w:val="center"/>
                </w:tcPr>
                <w:p>
                  <w:pPr>
                    <w:pStyle w:val="53"/>
                    <w:jc w:val="center"/>
                    <w:rPr>
                      <w:rFonts w:hint="default" w:ascii="Times New Roman" w:hAnsi="Times New Roman" w:cs="Times New Roman"/>
                      <w:color w:val="auto"/>
                      <w:sz w:val="18"/>
                      <w:szCs w:val="18"/>
                      <w:u w:val="single"/>
                    </w:rPr>
                  </w:pPr>
                  <w:r>
                    <w:rPr>
                      <w:rFonts w:hint="default" w:ascii="Times New Roman" w:hAnsi="Times New Roman" w:cs="Times New Roman"/>
                      <w:color w:val="auto"/>
                      <w:sz w:val="18"/>
                      <w:szCs w:val="18"/>
                      <w:u w:val="single"/>
                    </w:rPr>
                    <w:t>漏射</w:t>
                  </w:r>
                </w:p>
              </w:tc>
              <w:tc>
                <w:tcPr>
                  <w:tcW w:w="684" w:type="dxa"/>
                  <w:noWrap w:val="0"/>
                  <w:vAlign w:val="center"/>
                </w:tcPr>
                <w:p>
                  <w:pPr>
                    <w:pStyle w:val="53"/>
                    <w:jc w:val="center"/>
                    <w:rPr>
                      <w:rFonts w:hint="default" w:ascii="Times New Roman" w:hAnsi="Times New Roman" w:cs="Times New Roman"/>
                      <w:color w:val="auto"/>
                      <w:sz w:val="18"/>
                      <w:szCs w:val="18"/>
                      <w:u w:val="single"/>
                    </w:rPr>
                  </w:pPr>
                  <w:r>
                    <w:rPr>
                      <w:rFonts w:hint="default" w:ascii="Times New Roman" w:hAnsi="Times New Roman" w:cs="Times New Roman"/>
                      <w:color w:val="auto"/>
                      <w:sz w:val="18"/>
                      <w:szCs w:val="18"/>
                      <w:u w:val="single"/>
                    </w:rPr>
                    <w:t>散射</w:t>
                  </w:r>
                </w:p>
              </w:tc>
              <w:tc>
                <w:tcPr>
                  <w:tcW w:w="666" w:type="dxa"/>
                  <w:noWrap w:val="0"/>
                  <w:vAlign w:val="center"/>
                </w:tcPr>
                <w:p>
                  <w:pPr>
                    <w:pStyle w:val="53"/>
                    <w:jc w:val="center"/>
                    <w:rPr>
                      <w:rFonts w:hint="default" w:ascii="Times New Roman" w:hAnsi="Times New Roman" w:eastAsia="宋体" w:cs="Times New Roman"/>
                      <w:color w:val="auto"/>
                      <w:sz w:val="18"/>
                      <w:szCs w:val="18"/>
                      <w:u w:val="single"/>
                      <w:lang w:eastAsia="zh-CN"/>
                    </w:rPr>
                  </w:pPr>
                  <w:r>
                    <w:rPr>
                      <w:rFonts w:hint="default" w:ascii="Times New Roman" w:hAnsi="Times New Roman" w:cs="Times New Roman"/>
                      <w:color w:val="auto"/>
                      <w:sz w:val="18"/>
                      <w:szCs w:val="18"/>
                      <w:u w:val="single"/>
                    </w:rPr>
                    <w:t>复合</w:t>
                  </w:r>
                </w:p>
              </w:tc>
              <w:tc>
                <w:tcPr>
                  <w:tcW w:w="967" w:type="dxa"/>
                  <w:vMerge w:val="continue"/>
                  <w:noWrap w:val="0"/>
                  <w:vAlign w:val="center"/>
                </w:tcPr>
                <w:p>
                  <w:pPr>
                    <w:pStyle w:val="53"/>
                    <w:jc w:val="center"/>
                    <w:rPr>
                      <w:rFonts w:hint="default" w:ascii="Times New Roman" w:hAnsi="Times New Roman" w:cs="Times New Roman"/>
                      <w:color w:val="auto"/>
                      <w:sz w:val="18"/>
                      <w:szCs w:val="18"/>
                      <w:u w:val="single"/>
                    </w:rPr>
                  </w:pPr>
                </w:p>
              </w:tc>
              <w:tc>
                <w:tcPr>
                  <w:tcW w:w="1044" w:type="dxa"/>
                  <w:noWrap w:val="0"/>
                  <w:vAlign w:val="center"/>
                </w:tcPr>
                <w:p>
                  <w:pPr>
                    <w:pStyle w:val="53"/>
                    <w:jc w:val="center"/>
                    <w:rPr>
                      <w:rFonts w:hint="default" w:ascii="Times New Roman" w:hAnsi="Times New Roman" w:cs="Times New Roman"/>
                      <w:color w:val="auto"/>
                      <w:sz w:val="18"/>
                      <w:szCs w:val="18"/>
                      <w:u w:val="single"/>
                    </w:rPr>
                  </w:pPr>
                  <w:r>
                    <w:rPr>
                      <w:rFonts w:hint="default" w:ascii="Times New Roman" w:hAnsi="Times New Roman" w:cs="Times New Roman"/>
                      <w:color w:val="auto"/>
                      <w:sz w:val="18"/>
                      <w:szCs w:val="18"/>
                      <w:u w:val="single"/>
                    </w:rPr>
                    <w:t>漏射</w:t>
                  </w:r>
                </w:p>
              </w:tc>
              <w:tc>
                <w:tcPr>
                  <w:tcW w:w="1044" w:type="dxa"/>
                  <w:noWrap w:val="0"/>
                  <w:vAlign w:val="center"/>
                </w:tcPr>
                <w:p>
                  <w:pPr>
                    <w:pStyle w:val="53"/>
                    <w:jc w:val="center"/>
                    <w:rPr>
                      <w:rFonts w:hint="default" w:ascii="Times New Roman" w:hAnsi="Times New Roman" w:cs="Times New Roman"/>
                      <w:color w:val="auto"/>
                      <w:sz w:val="18"/>
                      <w:szCs w:val="18"/>
                      <w:u w:val="single"/>
                    </w:rPr>
                  </w:pPr>
                  <w:r>
                    <w:rPr>
                      <w:rFonts w:hint="default" w:ascii="Times New Roman" w:hAnsi="Times New Roman" w:cs="Times New Roman"/>
                      <w:color w:val="auto"/>
                      <w:sz w:val="18"/>
                      <w:szCs w:val="18"/>
                      <w:u w:val="single"/>
                    </w:rPr>
                    <w:t>散射</w:t>
                  </w:r>
                </w:p>
              </w:tc>
              <w:tc>
                <w:tcPr>
                  <w:tcW w:w="1045" w:type="dxa"/>
                  <w:noWrap w:val="0"/>
                  <w:vAlign w:val="center"/>
                </w:tcPr>
                <w:p>
                  <w:pPr>
                    <w:pStyle w:val="53"/>
                    <w:jc w:val="center"/>
                    <w:rPr>
                      <w:rFonts w:hint="default" w:ascii="Times New Roman" w:hAnsi="Times New Roman" w:cs="Times New Roman"/>
                      <w:color w:val="auto"/>
                      <w:sz w:val="18"/>
                      <w:szCs w:val="18"/>
                      <w:u w:val="single"/>
                    </w:rPr>
                  </w:pPr>
                  <w:r>
                    <w:rPr>
                      <w:rFonts w:hint="default" w:ascii="Times New Roman" w:hAnsi="Times New Roman" w:cs="Times New Roman"/>
                      <w:color w:val="auto"/>
                      <w:sz w:val="18"/>
                      <w:szCs w:val="18"/>
                      <w:u w:val="single"/>
                    </w:rPr>
                    <w:t>复合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17" w:type="dxa"/>
                  <w:noWrap w:val="0"/>
                  <w:vAlign w:val="center"/>
                </w:tcPr>
                <w:p>
                  <w:pPr>
                    <w:pStyle w:val="53"/>
                    <w:ind w:firstLine="0" w:firstLineChars="0"/>
                    <w:jc w:val="center"/>
                    <w:rPr>
                      <w:rFonts w:hint="default" w:ascii="Times New Roman" w:hAnsi="Times New Roman" w:eastAsia="宋体" w:cs="Times New Roman"/>
                      <w:b w:val="0"/>
                      <w:color w:val="auto"/>
                      <w:kern w:val="2"/>
                      <w:sz w:val="18"/>
                      <w:szCs w:val="18"/>
                      <w:lang w:val="en-US" w:eastAsia="zh-CN" w:bidi="ar-SA"/>
                    </w:rPr>
                  </w:pPr>
                  <w:r>
                    <w:rPr>
                      <w:rFonts w:hint="default" w:ascii="Times New Roman" w:hAnsi="Times New Roman" w:cs="Times New Roman"/>
                      <w:color w:val="auto"/>
                      <w:sz w:val="18"/>
                      <w:szCs w:val="18"/>
                    </w:rPr>
                    <w:t>控制室操作位</w:t>
                  </w:r>
                </w:p>
              </w:tc>
              <w:tc>
                <w:tcPr>
                  <w:tcW w:w="650"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18"/>
                      <w:szCs w:val="18"/>
                      <w:u w:val="single"/>
                    </w:rPr>
                  </w:pPr>
                  <w:r>
                    <w:rPr>
                      <w:rFonts w:hint="default" w:ascii="Times New Roman" w:hAnsi="Times New Roman" w:eastAsia="宋体" w:cs="Times New Roman"/>
                      <w:i w:val="0"/>
                      <w:iCs w:val="0"/>
                      <w:color w:val="000000"/>
                      <w:kern w:val="0"/>
                      <w:sz w:val="18"/>
                      <w:szCs w:val="18"/>
                      <w:u w:val="none"/>
                      <w:lang w:val="en-US" w:eastAsia="zh-CN" w:bidi="ar"/>
                    </w:rPr>
                    <w:t>274</w:t>
                  </w:r>
                </w:p>
              </w:tc>
              <w:tc>
                <w:tcPr>
                  <w:tcW w:w="684"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18"/>
                      <w:szCs w:val="18"/>
                      <w:u w:val="single"/>
                    </w:rPr>
                  </w:pPr>
                  <w:r>
                    <w:rPr>
                      <w:rFonts w:hint="default" w:ascii="Times New Roman" w:hAnsi="Times New Roman" w:eastAsia="宋体" w:cs="Times New Roman"/>
                      <w:i w:val="0"/>
                      <w:iCs w:val="0"/>
                      <w:color w:val="000000"/>
                      <w:kern w:val="0"/>
                      <w:sz w:val="18"/>
                      <w:szCs w:val="18"/>
                      <w:u w:val="none"/>
                      <w:lang w:val="en-US" w:eastAsia="zh-CN" w:bidi="ar"/>
                    </w:rPr>
                    <w:t>568</w:t>
                  </w:r>
                </w:p>
              </w:tc>
              <w:tc>
                <w:tcPr>
                  <w:tcW w:w="666"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18"/>
                      <w:szCs w:val="18"/>
                      <w:u w:val="singl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568</w:t>
                  </w:r>
                </w:p>
              </w:tc>
              <w:tc>
                <w:tcPr>
                  <w:tcW w:w="967" w:type="dxa"/>
                  <w:noWrap w:val="0"/>
                  <w:vAlign w:val="center"/>
                </w:tcPr>
                <w:p>
                  <w:pPr>
                    <w:pStyle w:val="53"/>
                    <w:jc w:val="center"/>
                    <w:rPr>
                      <w:rFonts w:hint="default" w:ascii="Times New Roman" w:hAnsi="Times New Roman" w:cs="Times New Roman"/>
                      <w:color w:val="auto"/>
                      <w:sz w:val="18"/>
                      <w:szCs w:val="18"/>
                      <w:u w:val="single"/>
                    </w:rPr>
                  </w:pPr>
                  <w:r>
                    <w:rPr>
                      <w:rFonts w:hint="default" w:ascii="Times New Roman" w:hAnsi="Times New Roman" w:cs="Times New Roman"/>
                      <w:color w:val="auto"/>
                      <w:sz w:val="18"/>
                      <w:szCs w:val="18"/>
                      <w:u w:val="single"/>
                      <w:lang w:val="en-US" w:eastAsia="zh-CN"/>
                    </w:rPr>
                    <w:t>700</w:t>
                  </w:r>
                </w:p>
              </w:tc>
              <w:tc>
                <w:tcPr>
                  <w:tcW w:w="1044"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18"/>
                      <w:szCs w:val="18"/>
                      <w:u w:val="single"/>
                    </w:rPr>
                  </w:pPr>
                  <w:r>
                    <w:rPr>
                      <w:rFonts w:hint="default" w:ascii="Times New Roman" w:hAnsi="Times New Roman" w:eastAsia="宋体" w:cs="Times New Roman"/>
                      <w:i w:val="0"/>
                      <w:iCs w:val="0"/>
                      <w:color w:val="000000"/>
                      <w:kern w:val="0"/>
                      <w:sz w:val="18"/>
                      <w:szCs w:val="18"/>
                      <w:u w:val="none"/>
                      <w:lang w:val="en-US" w:eastAsia="zh-CN" w:bidi="ar"/>
                    </w:rPr>
                    <w:t>8.88E-06</w:t>
                  </w:r>
                </w:p>
              </w:tc>
              <w:tc>
                <w:tcPr>
                  <w:tcW w:w="1044"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18"/>
                      <w:szCs w:val="18"/>
                      <w:u w:val="single"/>
                    </w:rPr>
                  </w:pPr>
                  <w:r>
                    <w:rPr>
                      <w:rFonts w:hint="default" w:ascii="Times New Roman" w:hAnsi="Times New Roman" w:eastAsia="宋体" w:cs="Times New Roman"/>
                      <w:i w:val="0"/>
                      <w:iCs w:val="0"/>
                      <w:color w:val="000000"/>
                      <w:kern w:val="0"/>
                      <w:sz w:val="18"/>
                      <w:szCs w:val="18"/>
                      <w:u w:val="none"/>
                      <w:lang w:val="en-US" w:eastAsia="zh-CN" w:bidi="ar"/>
                    </w:rPr>
                    <w:t>1.20E-01</w:t>
                  </w:r>
                </w:p>
              </w:tc>
              <w:tc>
                <w:tcPr>
                  <w:tcW w:w="1045"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18"/>
                      <w:szCs w:val="18"/>
                      <w:u w:val="single"/>
                    </w:rPr>
                  </w:pPr>
                  <w:r>
                    <w:rPr>
                      <w:rFonts w:hint="default" w:ascii="Times New Roman" w:hAnsi="Times New Roman" w:eastAsia="宋体" w:cs="Times New Roman"/>
                      <w:i w:val="0"/>
                      <w:iCs w:val="0"/>
                      <w:color w:val="000000"/>
                      <w:kern w:val="0"/>
                      <w:sz w:val="18"/>
                      <w:szCs w:val="18"/>
                      <w:u w:val="none"/>
                      <w:lang w:val="en-US" w:eastAsia="zh-CN" w:bidi="ar"/>
                    </w:rPr>
                    <w:t>1.20E-01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17" w:type="dxa"/>
                  <w:noWrap w:val="0"/>
                  <w:vAlign w:val="center"/>
                </w:tcPr>
                <w:p>
                  <w:pPr>
                    <w:pStyle w:val="53"/>
                    <w:ind w:firstLine="0" w:firstLineChars="0"/>
                    <w:jc w:val="center"/>
                    <w:rPr>
                      <w:rFonts w:hint="default" w:ascii="Times New Roman" w:hAnsi="Times New Roman" w:eastAsia="宋体" w:cs="Times New Roman"/>
                      <w:b w:val="0"/>
                      <w:color w:val="auto"/>
                      <w:kern w:val="2"/>
                      <w:sz w:val="18"/>
                      <w:szCs w:val="18"/>
                      <w:lang w:val="en-US" w:eastAsia="zh-CN" w:bidi="ar-SA"/>
                    </w:rPr>
                  </w:pPr>
                  <w:r>
                    <w:rPr>
                      <w:rFonts w:hint="default" w:ascii="Times New Roman" w:hAnsi="Times New Roman" w:cs="Times New Roman"/>
                      <w:color w:val="auto"/>
                      <w:sz w:val="18"/>
                      <w:szCs w:val="18"/>
                      <w:lang w:val="en-US" w:eastAsia="zh-CN"/>
                    </w:rPr>
                    <w:t>维修</w:t>
                  </w:r>
                  <w:r>
                    <w:rPr>
                      <w:rFonts w:hint="default" w:ascii="Times New Roman" w:hAnsi="Times New Roman" w:cs="Times New Roman"/>
                      <w:color w:val="auto"/>
                      <w:sz w:val="18"/>
                      <w:szCs w:val="18"/>
                    </w:rPr>
                    <w:t>门外30cm</w:t>
                  </w:r>
                  <w:r>
                    <w:rPr>
                      <w:rFonts w:hint="default" w:ascii="Times New Roman" w:hAnsi="Times New Roman" w:cs="Times New Roman"/>
                      <w:color w:val="auto"/>
                      <w:sz w:val="18"/>
                      <w:szCs w:val="18"/>
                      <w:lang w:eastAsia="zh-CN"/>
                    </w:rPr>
                    <w:t>（</w:t>
                  </w:r>
                  <w:r>
                    <w:rPr>
                      <w:rFonts w:hint="default" w:ascii="Times New Roman" w:hAnsi="Times New Roman" w:cs="Times New Roman"/>
                      <w:color w:val="auto"/>
                      <w:sz w:val="18"/>
                      <w:szCs w:val="18"/>
                      <w:lang w:val="en-US" w:eastAsia="zh-CN"/>
                    </w:rPr>
                    <w:t>控制室内</w:t>
                  </w:r>
                  <w:r>
                    <w:rPr>
                      <w:rFonts w:hint="default" w:ascii="Times New Roman" w:hAnsi="Times New Roman" w:cs="Times New Roman"/>
                      <w:color w:val="auto"/>
                      <w:sz w:val="18"/>
                      <w:szCs w:val="18"/>
                      <w:lang w:eastAsia="zh-CN"/>
                    </w:rPr>
                    <w:t>）</w:t>
                  </w:r>
                </w:p>
              </w:tc>
              <w:tc>
                <w:tcPr>
                  <w:tcW w:w="650"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18"/>
                      <w:szCs w:val="18"/>
                      <w:u w:val="single"/>
                    </w:rPr>
                  </w:pPr>
                  <w:r>
                    <w:rPr>
                      <w:rFonts w:hint="default" w:ascii="Times New Roman" w:hAnsi="Times New Roman" w:eastAsia="宋体" w:cs="Times New Roman"/>
                      <w:i w:val="0"/>
                      <w:iCs w:val="0"/>
                      <w:color w:val="000000"/>
                      <w:kern w:val="0"/>
                      <w:sz w:val="18"/>
                      <w:szCs w:val="18"/>
                      <w:u w:val="none"/>
                      <w:lang w:val="en-US" w:eastAsia="zh-CN" w:bidi="ar"/>
                    </w:rPr>
                    <w:t>26</w:t>
                  </w:r>
                </w:p>
              </w:tc>
              <w:tc>
                <w:tcPr>
                  <w:tcW w:w="684"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18"/>
                      <w:szCs w:val="18"/>
                      <w:u w:val="single"/>
                    </w:rPr>
                  </w:pPr>
                  <w:r>
                    <w:rPr>
                      <w:rFonts w:hint="default" w:ascii="Times New Roman" w:hAnsi="Times New Roman" w:eastAsia="宋体" w:cs="Times New Roman"/>
                      <w:i w:val="0"/>
                      <w:iCs w:val="0"/>
                      <w:color w:val="000000"/>
                      <w:kern w:val="0"/>
                      <w:sz w:val="18"/>
                      <w:szCs w:val="18"/>
                      <w:u w:val="none"/>
                      <w:lang w:val="en-US" w:eastAsia="zh-CN" w:bidi="ar"/>
                    </w:rPr>
                    <w:t>34</w:t>
                  </w:r>
                </w:p>
              </w:tc>
              <w:tc>
                <w:tcPr>
                  <w:tcW w:w="666"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18"/>
                      <w:szCs w:val="18"/>
                      <w:u w:val="singl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34</w:t>
                  </w:r>
                </w:p>
              </w:tc>
              <w:tc>
                <w:tcPr>
                  <w:tcW w:w="967" w:type="dxa"/>
                  <w:noWrap w:val="0"/>
                  <w:vAlign w:val="center"/>
                </w:tcPr>
                <w:p>
                  <w:pPr>
                    <w:pStyle w:val="53"/>
                    <w:jc w:val="center"/>
                    <w:rPr>
                      <w:rFonts w:hint="default" w:ascii="Times New Roman" w:hAnsi="Times New Roman" w:eastAsia="宋体" w:cs="Times New Roman"/>
                      <w:color w:val="auto"/>
                      <w:sz w:val="18"/>
                      <w:szCs w:val="18"/>
                      <w:u w:val="single"/>
                      <w:lang w:val="en-US" w:eastAsia="zh-CN"/>
                    </w:rPr>
                  </w:pPr>
                  <w:r>
                    <w:rPr>
                      <w:rFonts w:hint="eastAsia" w:ascii="Times New Roman" w:hAnsi="Times New Roman" w:cs="Times New Roman"/>
                      <w:color w:val="auto"/>
                      <w:sz w:val="18"/>
                      <w:szCs w:val="18"/>
                      <w:u w:val="single"/>
                      <w:lang w:val="en-US" w:eastAsia="zh-CN"/>
                    </w:rPr>
                    <w:t>45</w:t>
                  </w:r>
                </w:p>
              </w:tc>
              <w:tc>
                <w:tcPr>
                  <w:tcW w:w="1044"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2.24E-02</w:t>
                  </w:r>
                </w:p>
              </w:tc>
              <w:tc>
                <w:tcPr>
                  <w:tcW w:w="1044"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18"/>
                      <w:szCs w:val="18"/>
                      <w:u w:val="single"/>
                    </w:rPr>
                  </w:pPr>
                  <w:r>
                    <w:rPr>
                      <w:rFonts w:hint="default" w:ascii="Times New Roman" w:hAnsi="Times New Roman" w:eastAsia="宋体" w:cs="Times New Roman"/>
                      <w:i w:val="0"/>
                      <w:iCs w:val="0"/>
                      <w:color w:val="000000"/>
                      <w:kern w:val="0"/>
                      <w:sz w:val="18"/>
                      <w:szCs w:val="18"/>
                      <w:u w:val="none"/>
                      <w:lang w:val="en-US" w:eastAsia="zh-CN" w:bidi="ar"/>
                    </w:rPr>
                    <w:t>2.60E-02</w:t>
                  </w:r>
                </w:p>
              </w:tc>
              <w:tc>
                <w:tcPr>
                  <w:tcW w:w="1045"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18"/>
                      <w:szCs w:val="18"/>
                      <w:u w:val="single"/>
                    </w:rPr>
                  </w:pPr>
                  <w:r>
                    <w:rPr>
                      <w:rFonts w:hint="default" w:ascii="Times New Roman" w:hAnsi="Times New Roman" w:eastAsia="宋体" w:cs="Times New Roman"/>
                      <w:i w:val="0"/>
                      <w:iCs w:val="0"/>
                      <w:color w:val="000000"/>
                      <w:kern w:val="0"/>
                      <w:sz w:val="18"/>
                      <w:szCs w:val="18"/>
                      <w:u w:val="none"/>
                      <w:lang w:val="en-US" w:eastAsia="zh-CN" w:bidi="ar"/>
                    </w:rPr>
                    <w:t>4.84E-02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17" w:type="dxa"/>
                  <w:noWrap w:val="0"/>
                  <w:vAlign w:val="center"/>
                </w:tcPr>
                <w:p>
                  <w:pPr>
                    <w:pStyle w:val="53"/>
                    <w:ind w:firstLine="0" w:firstLineChars="0"/>
                    <w:jc w:val="center"/>
                    <w:rPr>
                      <w:rFonts w:hint="default" w:ascii="Times New Roman" w:hAnsi="Times New Roman" w:eastAsia="宋体" w:cs="Times New Roman"/>
                      <w:b w:val="0"/>
                      <w:color w:val="auto"/>
                      <w:kern w:val="2"/>
                      <w:sz w:val="18"/>
                      <w:szCs w:val="18"/>
                      <w:lang w:val="en-US" w:eastAsia="zh-CN" w:bidi="ar-SA"/>
                    </w:rPr>
                  </w:pPr>
                  <w:r>
                    <w:rPr>
                      <w:rFonts w:hint="default" w:ascii="Times New Roman" w:hAnsi="Times New Roman" w:cs="Times New Roman"/>
                      <w:color w:val="auto"/>
                      <w:sz w:val="18"/>
                      <w:szCs w:val="18"/>
                    </w:rPr>
                    <w:t>探伤室南侧墙体外30cm</w:t>
                  </w:r>
                  <w:r>
                    <w:rPr>
                      <w:rFonts w:hint="default" w:ascii="Times New Roman" w:hAnsi="Times New Roman" w:cs="Times New Roman"/>
                      <w:color w:val="auto"/>
                      <w:sz w:val="18"/>
                      <w:szCs w:val="18"/>
                      <w:lang w:eastAsia="zh-CN"/>
                    </w:rPr>
                    <w:t>（</w:t>
                  </w:r>
                  <w:r>
                    <w:rPr>
                      <w:rFonts w:hint="default" w:ascii="Times New Roman" w:hAnsi="Times New Roman" w:cs="Times New Roman"/>
                      <w:color w:val="auto"/>
                      <w:sz w:val="18"/>
                      <w:szCs w:val="18"/>
                      <w:lang w:val="en-US" w:eastAsia="zh-CN"/>
                    </w:rPr>
                    <w:t>控制室内</w:t>
                  </w:r>
                  <w:r>
                    <w:rPr>
                      <w:rFonts w:hint="default" w:ascii="Times New Roman" w:hAnsi="Times New Roman" w:cs="Times New Roman"/>
                      <w:color w:val="auto"/>
                      <w:sz w:val="18"/>
                      <w:szCs w:val="18"/>
                      <w:lang w:eastAsia="zh-CN"/>
                    </w:rPr>
                    <w:t>）</w:t>
                  </w:r>
                </w:p>
              </w:tc>
              <w:tc>
                <w:tcPr>
                  <w:tcW w:w="650"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18"/>
                      <w:szCs w:val="18"/>
                      <w:u w:val="single"/>
                    </w:rPr>
                  </w:pPr>
                  <w:r>
                    <w:rPr>
                      <w:rFonts w:hint="default" w:ascii="Times New Roman" w:hAnsi="Times New Roman" w:eastAsia="宋体" w:cs="Times New Roman"/>
                      <w:i w:val="0"/>
                      <w:iCs w:val="0"/>
                      <w:color w:val="000000"/>
                      <w:kern w:val="0"/>
                      <w:sz w:val="18"/>
                      <w:szCs w:val="18"/>
                      <w:u w:val="none"/>
                      <w:lang w:val="en-US" w:eastAsia="zh-CN" w:bidi="ar"/>
                    </w:rPr>
                    <w:t>306</w:t>
                  </w:r>
                </w:p>
              </w:tc>
              <w:tc>
                <w:tcPr>
                  <w:tcW w:w="684"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18"/>
                      <w:szCs w:val="18"/>
                      <w:u w:val="single"/>
                    </w:rPr>
                  </w:pPr>
                  <w:r>
                    <w:rPr>
                      <w:rFonts w:hint="default" w:ascii="Times New Roman" w:hAnsi="Times New Roman" w:eastAsia="宋体" w:cs="Times New Roman"/>
                      <w:i w:val="0"/>
                      <w:iCs w:val="0"/>
                      <w:color w:val="000000"/>
                      <w:kern w:val="0"/>
                      <w:sz w:val="18"/>
                      <w:szCs w:val="18"/>
                      <w:u w:val="none"/>
                      <w:lang w:val="en-US" w:eastAsia="zh-CN" w:bidi="ar"/>
                    </w:rPr>
                    <w:t>591</w:t>
                  </w:r>
                </w:p>
              </w:tc>
              <w:tc>
                <w:tcPr>
                  <w:tcW w:w="666"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18"/>
                      <w:szCs w:val="18"/>
                      <w:u w:val="singl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591</w:t>
                  </w:r>
                </w:p>
              </w:tc>
              <w:tc>
                <w:tcPr>
                  <w:tcW w:w="967" w:type="dxa"/>
                  <w:noWrap w:val="0"/>
                  <w:vAlign w:val="center"/>
                </w:tcPr>
                <w:p>
                  <w:pPr>
                    <w:pStyle w:val="53"/>
                    <w:jc w:val="center"/>
                    <w:rPr>
                      <w:rFonts w:hint="default" w:ascii="Times New Roman" w:hAnsi="Times New Roman" w:cs="Times New Roman"/>
                      <w:color w:val="auto"/>
                      <w:sz w:val="18"/>
                      <w:szCs w:val="18"/>
                      <w:u w:val="single"/>
                    </w:rPr>
                  </w:pPr>
                  <w:r>
                    <w:rPr>
                      <w:rFonts w:hint="default" w:ascii="Times New Roman" w:hAnsi="Times New Roman" w:cs="Times New Roman"/>
                      <w:color w:val="auto"/>
                      <w:sz w:val="18"/>
                      <w:szCs w:val="18"/>
                      <w:u w:val="single"/>
                      <w:lang w:val="en-US" w:eastAsia="zh-CN"/>
                    </w:rPr>
                    <w:t>700</w:t>
                  </w:r>
                </w:p>
              </w:tc>
              <w:tc>
                <w:tcPr>
                  <w:tcW w:w="1044"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18"/>
                      <w:szCs w:val="18"/>
                      <w:u w:val="single"/>
                    </w:rPr>
                  </w:pPr>
                  <w:r>
                    <w:rPr>
                      <w:rFonts w:hint="default" w:ascii="Times New Roman" w:hAnsi="Times New Roman" w:eastAsia="宋体" w:cs="Times New Roman"/>
                      <w:i w:val="0"/>
                      <w:iCs w:val="0"/>
                      <w:color w:val="000000"/>
                      <w:kern w:val="0"/>
                      <w:sz w:val="18"/>
                      <w:szCs w:val="18"/>
                      <w:u w:val="none"/>
                      <w:lang w:val="en-US" w:eastAsia="zh-CN" w:bidi="ar"/>
                    </w:rPr>
                    <w:t>1.71E-05</w:t>
                  </w:r>
                </w:p>
              </w:tc>
              <w:tc>
                <w:tcPr>
                  <w:tcW w:w="1044"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18"/>
                      <w:szCs w:val="18"/>
                      <w:u w:val="single"/>
                    </w:rPr>
                  </w:pPr>
                  <w:r>
                    <w:rPr>
                      <w:rFonts w:hint="default" w:ascii="Times New Roman" w:hAnsi="Times New Roman" w:eastAsia="宋体" w:cs="Times New Roman"/>
                      <w:i w:val="0"/>
                      <w:iCs w:val="0"/>
                      <w:color w:val="000000"/>
                      <w:kern w:val="0"/>
                      <w:sz w:val="18"/>
                      <w:szCs w:val="18"/>
                      <w:u w:val="none"/>
                      <w:lang w:val="en-US" w:eastAsia="zh-CN" w:bidi="ar"/>
                    </w:rPr>
                    <w:t>2.04E-01</w:t>
                  </w:r>
                </w:p>
              </w:tc>
              <w:tc>
                <w:tcPr>
                  <w:tcW w:w="1045"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18"/>
                      <w:szCs w:val="18"/>
                      <w:u w:val="single"/>
                    </w:rPr>
                  </w:pPr>
                  <w:r>
                    <w:rPr>
                      <w:rFonts w:hint="default" w:ascii="Times New Roman" w:hAnsi="Times New Roman" w:eastAsia="宋体" w:cs="Times New Roman"/>
                      <w:i w:val="0"/>
                      <w:iCs w:val="0"/>
                      <w:color w:val="000000"/>
                      <w:kern w:val="0"/>
                      <w:sz w:val="18"/>
                      <w:szCs w:val="18"/>
                      <w:u w:val="none"/>
                      <w:lang w:val="en-US" w:eastAsia="zh-CN" w:bidi="ar"/>
                    </w:rPr>
                    <w:t>2.04E-01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17" w:type="dxa"/>
                  <w:noWrap w:val="0"/>
                  <w:vAlign w:val="center"/>
                </w:tcPr>
                <w:p>
                  <w:pPr>
                    <w:pStyle w:val="53"/>
                    <w:ind w:firstLine="0" w:firstLineChars="0"/>
                    <w:jc w:val="center"/>
                    <w:rPr>
                      <w:rFonts w:hint="default" w:ascii="Times New Roman" w:hAnsi="Times New Roman" w:eastAsia="宋体" w:cs="Times New Roman"/>
                      <w:b w:val="0"/>
                      <w:color w:val="auto"/>
                      <w:kern w:val="2"/>
                      <w:sz w:val="18"/>
                      <w:szCs w:val="18"/>
                      <w:lang w:val="en-US" w:eastAsia="zh-CN" w:bidi="ar-SA"/>
                    </w:rPr>
                  </w:pPr>
                  <w:r>
                    <w:rPr>
                      <w:rFonts w:hint="default" w:ascii="Times New Roman" w:hAnsi="Times New Roman" w:cs="Times New Roman"/>
                      <w:color w:val="auto"/>
                      <w:sz w:val="18"/>
                      <w:szCs w:val="18"/>
                    </w:rPr>
                    <w:t>探伤室东侧墙体外30cm</w:t>
                  </w:r>
                  <w:r>
                    <w:rPr>
                      <w:rFonts w:hint="default" w:ascii="Times New Roman" w:hAnsi="Times New Roman" w:cs="Times New Roman"/>
                      <w:color w:val="auto"/>
                      <w:sz w:val="18"/>
                      <w:szCs w:val="18"/>
                      <w:lang w:eastAsia="zh-CN"/>
                    </w:rPr>
                    <w:t>（</w:t>
                  </w:r>
                  <w:r>
                    <w:rPr>
                      <w:rFonts w:hint="default" w:ascii="Times New Roman" w:hAnsi="Times New Roman" w:cs="Times New Roman"/>
                      <w:color w:val="auto"/>
                      <w:sz w:val="18"/>
                      <w:szCs w:val="18"/>
                      <w:lang w:val="en-US" w:eastAsia="zh-CN"/>
                    </w:rPr>
                    <w:t>设备生产车间内</w:t>
                  </w:r>
                  <w:r>
                    <w:rPr>
                      <w:rFonts w:hint="default" w:ascii="Times New Roman" w:hAnsi="Times New Roman" w:cs="Times New Roman"/>
                      <w:color w:val="auto"/>
                      <w:sz w:val="18"/>
                      <w:szCs w:val="18"/>
                      <w:lang w:eastAsia="zh-CN"/>
                    </w:rPr>
                    <w:t>）</w:t>
                  </w:r>
                </w:p>
              </w:tc>
              <w:tc>
                <w:tcPr>
                  <w:tcW w:w="650"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18"/>
                      <w:szCs w:val="18"/>
                      <w:u w:val="single"/>
                    </w:rPr>
                  </w:pPr>
                  <w:r>
                    <w:rPr>
                      <w:rFonts w:hint="default" w:ascii="Times New Roman" w:hAnsi="Times New Roman" w:eastAsia="宋体" w:cs="Times New Roman"/>
                      <w:i w:val="0"/>
                      <w:iCs w:val="0"/>
                      <w:color w:val="000000"/>
                      <w:kern w:val="0"/>
                      <w:sz w:val="18"/>
                      <w:szCs w:val="18"/>
                      <w:u w:val="none"/>
                      <w:lang w:val="en-US" w:eastAsia="zh-CN" w:bidi="ar"/>
                    </w:rPr>
                    <w:t>234</w:t>
                  </w:r>
                </w:p>
              </w:tc>
              <w:tc>
                <w:tcPr>
                  <w:tcW w:w="684"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18"/>
                      <w:szCs w:val="18"/>
                      <w:u w:val="single"/>
                    </w:rPr>
                  </w:pPr>
                  <w:r>
                    <w:rPr>
                      <w:rFonts w:hint="default" w:ascii="Times New Roman" w:hAnsi="Times New Roman" w:eastAsia="宋体" w:cs="Times New Roman"/>
                      <w:i w:val="0"/>
                      <w:iCs w:val="0"/>
                      <w:color w:val="000000"/>
                      <w:kern w:val="0"/>
                      <w:sz w:val="18"/>
                      <w:szCs w:val="18"/>
                      <w:u w:val="none"/>
                      <w:lang w:val="en-US" w:eastAsia="zh-CN" w:bidi="ar"/>
                    </w:rPr>
                    <w:t>548</w:t>
                  </w:r>
                </w:p>
              </w:tc>
              <w:tc>
                <w:tcPr>
                  <w:tcW w:w="666"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18"/>
                      <w:szCs w:val="18"/>
                      <w:u w:val="singl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548</w:t>
                  </w:r>
                </w:p>
              </w:tc>
              <w:tc>
                <w:tcPr>
                  <w:tcW w:w="967" w:type="dxa"/>
                  <w:noWrap w:val="0"/>
                  <w:vAlign w:val="center"/>
                </w:tcPr>
                <w:p>
                  <w:pPr>
                    <w:pStyle w:val="53"/>
                    <w:jc w:val="center"/>
                    <w:rPr>
                      <w:rFonts w:hint="default" w:ascii="Times New Roman" w:hAnsi="Times New Roman" w:cs="Times New Roman"/>
                      <w:color w:val="auto"/>
                      <w:sz w:val="18"/>
                      <w:szCs w:val="18"/>
                      <w:u w:val="single"/>
                    </w:rPr>
                  </w:pPr>
                  <w:r>
                    <w:rPr>
                      <w:rFonts w:hint="default" w:ascii="Times New Roman" w:hAnsi="Times New Roman" w:cs="Times New Roman"/>
                      <w:color w:val="auto"/>
                      <w:sz w:val="18"/>
                      <w:szCs w:val="18"/>
                      <w:u w:val="single"/>
                      <w:lang w:val="en-US" w:eastAsia="zh-CN"/>
                    </w:rPr>
                    <w:t>700</w:t>
                  </w:r>
                </w:p>
              </w:tc>
              <w:tc>
                <w:tcPr>
                  <w:tcW w:w="1044"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18"/>
                      <w:szCs w:val="18"/>
                      <w:u w:val="single"/>
                    </w:rPr>
                  </w:pPr>
                  <w:r>
                    <w:rPr>
                      <w:rFonts w:hint="default" w:ascii="Times New Roman" w:hAnsi="Times New Roman" w:eastAsia="宋体" w:cs="Times New Roman"/>
                      <w:i w:val="0"/>
                      <w:iCs w:val="0"/>
                      <w:color w:val="000000"/>
                      <w:kern w:val="0"/>
                      <w:sz w:val="18"/>
                      <w:szCs w:val="18"/>
                      <w:u w:val="none"/>
                      <w:lang w:val="en-US" w:eastAsia="zh-CN" w:bidi="ar"/>
                    </w:rPr>
                    <w:t>3.84E-06</w:t>
                  </w:r>
                </w:p>
              </w:tc>
              <w:tc>
                <w:tcPr>
                  <w:tcW w:w="1044"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18"/>
                      <w:szCs w:val="18"/>
                      <w:u w:val="single"/>
                    </w:rPr>
                  </w:pPr>
                  <w:r>
                    <w:rPr>
                      <w:rFonts w:hint="default" w:ascii="Times New Roman" w:hAnsi="Times New Roman" w:eastAsia="宋体" w:cs="Times New Roman"/>
                      <w:i w:val="0"/>
                      <w:iCs w:val="0"/>
                      <w:color w:val="000000"/>
                      <w:kern w:val="0"/>
                      <w:sz w:val="18"/>
                      <w:szCs w:val="18"/>
                      <w:u w:val="none"/>
                      <w:lang w:val="en-US" w:eastAsia="zh-CN" w:bidi="ar"/>
                    </w:rPr>
                    <w:t>7.48E-02</w:t>
                  </w:r>
                </w:p>
              </w:tc>
              <w:tc>
                <w:tcPr>
                  <w:tcW w:w="1045"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18"/>
                      <w:szCs w:val="18"/>
                      <w:u w:val="single"/>
                    </w:rPr>
                  </w:pPr>
                  <w:r>
                    <w:rPr>
                      <w:rFonts w:hint="default" w:ascii="Times New Roman" w:hAnsi="Times New Roman" w:eastAsia="宋体" w:cs="Times New Roman"/>
                      <w:i w:val="0"/>
                      <w:iCs w:val="0"/>
                      <w:color w:val="000000"/>
                      <w:kern w:val="0"/>
                      <w:sz w:val="18"/>
                      <w:szCs w:val="18"/>
                      <w:u w:val="none"/>
                      <w:lang w:val="en-US" w:eastAsia="zh-CN" w:bidi="ar"/>
                    </w:rPr>
                    <w:t>7.48E-02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17" w:type="dxa"/>
                  <w:noWrap w:val="0"/>
                  <w:vAlign w:val="center"/>
                </w:tcPr>
                <w:p>
                  <w:pPr>
                    <w:pStyle w:val="53"/>
                    <w:ind w:firstLine="0" w:firstLineChars="0"/>
                    <w:jc w:val="center"/>
                    <w:rPr>
                      <w:rFonts w:hint="default" w:ascii="Times New Roman" w:hAnsi="Times New Roman" w:eastAsia="宋体" w:cs="Times New Roman"/>
                      <w:b w:val="0"/>
                      <w:color w:val="auto"/>
                      <w:kern w:val="2"/>
                      <w:sz w:val="18"/>
                      <w:szCs w:val="18"/>
                      <w:lang w:val="en-US" w:eastAsia="zh-CN" w:bidi="ar-SA"/>
                    </w:rPr>
                  </w:pPr>
                  <w:r>
                    <w:rPr>
                      <w:rFonts w:hint="default" w:ascii="Times New Roman" w:hAnsi="Times New Roman" w:cs="Times New Roman"/>
                      <w:color w:val="auto"/>
                      <w:sz w:val="18"/>
                      <w:szCs w:val="18"/>
                    </w:rPr>
                    <w:t>探伤室西侧墙体外30cm</w:t>
                  </w:r>
                  <w:r>
                    <w:rPr>
                      <w:rFonts w:hint="default" w:ascii="Times New Roman" w:hAnsi="Times New Roman" w:cs="Times New Roman"/>
                      <w:color w:val="auto"/>
                      <w:sz w:val="18"/>
                      <w:szCs w:val="18"/>
                      <w:lang w:eastAsia="zh-CN"/>
                    </w:rPr>
                    <w:t>（</w:t>
                  </w:r>
                  <w:r>
                    <w:rPr>
                      <w:rFonts w:hint="default" w:ascii="Times New Roman" w:hAnsi="Times New Roman" w:cs="Times New Roman"/>
                      <w:color w:val="auto"/>
                      <w:sz w:val="18"/>
                      <w:szCs w:val="18"/>
                      <w:lang w:val="en-US" w:eastAsia="zh-CN"/>
                    </w:rPr>
                    <w:t>设备生产车间内</w:t>
                  </w:r>
                  <w:r>
                    <w:rPr>
                      <w:rFonts w:hint="default" w:ascii="Times New Roman" w:hAnsi="Times New Roman" w:cs="Times New Roman"/>
                      <w:color w:val="auto"/>
                      <w:sz w:val="18"/>
                      <w:szCs w:val="18"/>
                      <w:lang w:eastAsia="zh-CN"/>
                    </w:rPr>
                    <w:t>）</w:t>
                  </w:r>
                </w:p>
              </w:tc>
              <w:tc>
                <w:tcPr>
                  <w:tcW w:w="650"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singl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306</w:t>
                  </w:r>
                </w:p>
              </w:tc>
              <w:tc>
                <w:tcPr>
                  <w:tcW w:w="684"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singl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612</w:t>
                  </w:r>
                </w:p>
              </w:tc>
              <w:tc>
                <w:tcPr>
                  <w:tcW w:w="666"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singl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612</w:t>
                  </w:r>
                </w:p>
              </w:tc>
              <w:tc>
                <w:tcPr>
                  <w:tcW w:w="967" w:type="dxa"/>
                  <w:noWrap w:val="0"/>
                  <w:vAlign w:val="center"/>
                </w:tcPr>
                <w:p>
                  <w:pPr>
                    <w:pStyle w:val="53"/>
                    <w:jc w:val="center"/>
                    <w:rPr>
                      <w:rFonts w:hint="default" w:ascii="Times New Roman" w:hAnsi="Times New Roman" w:eastAsia="宋体" w:cs="Times New Roman"/>
                      <w:color w:val="auto"/>
                      <w:sz w:val="18"/>
                      <w:szCs w:val="18"/>
                      <w:u w:val="single"/>
                      <w:lang w:val="en-US" w:eastAsia="zh-CN"/>
                    </w:rPr>
                  </w:pPr>
                  <w:r>
                    <w:rPr>
                      <w:rFonts w:hint="default" w:ascii="Times New Roman" w:hAnsi="Times New Roman" w:cs="Times New Roman"/>
                      <w:color w:val="auto"/>
                      <w:sz w:val="18"/>
                      <w:szCs w:val="18"/>
                      <w:u w:val="single"/>
                      <w:lang w:val="en-US" w:eastAsia="zh-CN"/>
                    </w:rPr>
                    <w:t>700</w:t>
                  </w:r>
                </w:p>
              </w:tc>
              <w:tc>
                <w:tcPr>
                  <w:tcW w:w="1044"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singl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1.71E-05</w:t>
                  </w:r>
                </w:p>
              </w:tc>
              <w:tc>
                <w:tcPr>
                  <w:tcW w:w="1044"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singl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3.33E-01</w:t>
                  </w:r>
                </w:p>
              </w:tc>
              <w:tc>
                <w:tcPr>
                  <w:tcW w:w="1045"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singl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3.33E-01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17" w:type="dxa"/>
                  <w:noWrap w:val="0"/>
                  <w:vAlign w:val="center"/>
                </w:tcPr>
                <w:p>
                  <w:pPr>
                    <w:pStyle w:val="53"/>
                    <w:ind w:firstLine="0" w:firstLineChars="0"/>
                    <w:jc w:val="center"/>
                    <w:rPr>
                      <w:rFonts w:hint="default" w:ascii="Times New Roman" w:hAnsi="Times New Roman" w:eastAsia="宋体" w:cs="Times New Roman"/>
                      <w:b w:val="0"/>
                      <w:color w:val="auto"/>
                      <w:kern w:val="2"/>
                      <w:sz w:val="18"/>
                      <w:szCs w:val="18"/>
                      <w:lang w:val="en-US" w:eastAsia="zh-CN" w:bidi="ar-SA"/>
                    </w:rPr>
                  </w:pPr>
                  <w:r>
                    <w:rPr>
                      <w:rFonts w:hint="default" w:ascii="Times New Roman" w:hAnsi="Times New Roman" w:cs="Times New Roman"/>
                      <w:color w:val="auto"/>
                      <w:sz w:val="18"/>
                      <w:szCs w:val="18"/>
                    </w:rPr>
                    <w:t>大铅门外30cm</w:t>
                  </w:r>
                  <w:r>
                    <w:rPr>
                      <w:rFonts w:hint="default" w:ascii="Times New Roman" w:hAnsi="Times New Roman" w:cs="Times New Roman"/>
                      <w:color w:val="auto"/>
                      <w:sz w:val="18"/>
                      <w:szCs w:val="18"/>
                      <w:lang w:eastAsia="zh-CN"/>
                    </w:rPr>
                    <w:t>（</w:t>
                  </w:r>
                  <w:r>
                    <w:rPr>
                      <w:rFonts w:hint="default" w:ascii="Times New Roman" w:hAnsi="Times New Roman" w:cs="Times New Roman"/>
                      <w:color w:val="auto"/>
                      <w:sz w:val="18"/>
                      <w:szCs w:val="18"/>
                      <w:lang w:val="en-US" w:eastAsia="zh-CN"/>
                    </w:rPr>
                    <w:t>设备生产车间入口处</w:t>
                  </w:r>
                  <w:r>
                    <w:rPr>
                      <w:rFonts w:hint="default" w:ascii="Times New Roman" w:hAnsi="Times New Roman" w:cs="Times New Roman"/>
                      <w:color w:val="auto"/>
                      <w:sz w:val="18"/>
                      <w:szCs w:val="18"/>
                      <w:lang w:eastAsia="zh-CN"/>
                    </w:rPr>
                    <w:t>）</w:t>
                  </w:r>
                </w:p>
              </w:tc>
              <w:tc>
                <w:tcPr>
                  <w:tcW w:w="65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single"/>
                      <w:lang w:val="en-US" w:eastAsia="zh-CN"/>
                    </w:rPr>
                  </w:pPr>
                  <w:r>
                    <w:rPr>
                      <w:rFonts w:hint="default" w:ascii="Times New Roman" w:hAnsi="Times New Roman" w:eastAsia="宋体" w:cs="Times New Roman"/>
                      <w:i w:val="0"/>
                      <w:iCs w:val="0"/>
                      <w:color w:val="000000"/>
                      <w:kern w:val="0"/>
                      <w:sz w:val="18"/>
                      <w:szCs w:val="18"/>
                      <w:u w:val="none"/>
                      <w:lang w:val="en-US" w:eastAsia="zh-CN" w:bidi="ar"/>
                    </w:rPr>
                    <w:t>26</w:t>
                  </w:r>
                </w:p>
              </w:tc>
              <w:tc>
                <w:tcPr>
                  <w:tcW w:w="684"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single"/>
                      <w:lang w:val="en-US" w:eastAsia="zh-CN"/>
                    </w:rPr>
                  </w:pPr>
                  <w:r>
                    <w:rPr>
                      <w:rFonts w:hint="default" w:ascii="Times New Roman" w:hAnsi="Times New Roman" w:eastAsia="宋体" w:cs="Times New Roman"/>
                      <w:i w:val="0"/>
                      <w:iCs w:val="0"/>
                      <w:color w:val="000000"/>
                      <w:kern w:val="0"/>
                      <w:sz w:val="18"/>
                      <w:szCs w:val="18"/>
                      <w:u w:val="none"/>
                      <w:lang w:val="en-US" w:eastAsia="zh-CN" w:bidi="ar"/>
                    </w:rPr>
                    <w:t>35</w:t>
                  </w:r>
                </w:p>
              </w:tc>
              <w:tc>
                <w:tcPr>
                  <w:tcW w:w="666"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18"/>
                      <w:szCs w:val="18"/>
                      <w:u w:val="singl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35</w:t>
                  </w:r>
                </w:p>
              </w:tc>
              <w:tc>
                <w:tcPr>
                  <w:tcW w:w="967" w:type="dxa"/>
                  <w:noWrap w:val="0"/>
                  <w:vAlign w:val="center"/>
                </w:tcPr>
                <w:p>
                  <w:pPr>
                    <w:pStyle w:val="53"/>
                    <w:jc w:val="center"/>
                    <w:rPr>
                      <w:rFonts w:hint="default" w:ascii="Times New Roman" w:hAnsi="Times New Roman" w:eastAsia="宋体" w:cs="Times New Roman"/>
                      <w:color w:val="auto"/>
                      <w:sz w:val="18"/>
                      <w:szCs w:val="18"/>
                      <w:u w:val="single"/>
                      <w:lang w:val="en-US" w:eastAsia="zh-CN"/>
                    </w:rPr>
                  </w:pPr>
                  <w:r>
                    <w:rPr>
                      <w:rFonts w:hint="default" w:ascii="Times New Roman" w:hAnsi="Times New Roman" w:cs="Times New Roman"/>
                      <w:color w:val="auto"/>
                      <w:sz w:val="18"/>
                      <w:szCs w:val="18"/>
                      <w:u w:val="single"/>
                      <w:lang w:val="en-US" w:eastAsia="zh-CN"/>
                    </w:rPr>
                    <w:t>45</w:t>
                  </w:r>
                </w:p>
              </w:tc>
              <w:tc>
                <w:tcPr>
                  <w:tcW w:w="1044"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18"/>
                      <w:szCs w:val="18"/>
                      <w:u w:val="single"/>
                    </w:rPr>
                  </w:pPr>
                  <w:r>
                    <w:rPr>
                      <w:rFonts w:hint="default" w:ascii="Times New Roman" w:hAnsi="Times New Roman" w:eastAsia="宋体" w:cs="Times New Roman"/>
                      <w:i w:val="0"/>
                      <w:iCs w:val="0"/>
                      <w:color w:val="000000"/>
                      <w:kern w:val="0"/>
                      <w:sz w:val="18"/>
                      <w:szCs w:val="18"/>
                      <w:u w:val="none"/>
                      <w:lang w:val="en-US" w:eastAsia="zh-CN" w:bidi="ar"/>
                    </w:rPr>
                    <w:t>2.24E-02</w:t>
                  </w:r>
                </w:p>
              </w:tc>
              <w:tc>
                <w:tcPr>
                  <w:tcW w:w="1044"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18"/>
                      <w:szCs w:val="18"/>
                      <w:u w:val="single"/>
                      <w:lang w:val="en-US"/>
                    </w:rPr>
                  </w:pPr>
                  <w:r>
                    <w:rPr>
                      <w:rFonts w:hint="default" w:ascii="Times New Roman" w:hAnsi="Times New Roman" w:eastAsia="宋体" w:cs="Times New Roman"/>
                      <w:i w:val="0"/>
                      <w:iCs w:val="0"/>
                      <w:color w:val="000000"/>
                      <w:kern w:val="0"/>
                      <w:sz w:val="18"/>
                      <w:szCs w:val="18"/>
                      <w:u w:val="none"/>
                      <w:lang w:val="en-US" w:eastAsia="zh-CN" w:bidi="ar"/>
                    </w:rPr>
                    <w:t>4.25E-02</w:t>
                  </w:r>
                </w:p>
              </w:tc>
              <w:tc>
                <w:tcPr>
                  <w:tcW w:w="1045"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single"/>
                      <w:lang w:val="en-US" w:eastAsia="zh-CN"/>
                    </w:rPr>
                  </w:pPr>
                  <w:r>
                    <w:rPr>
                      <w:rFonts w:hint="default" w:ascii="Times New Roman" w:hAnsi="Times New Roman" w:eastAsia="宋体" w:cs="Times New Roman"/>
                      <w:i w:val="0"/>
                      <w:iCs w:val="0"/>
                      <w:color w:val="000000"/>
                      <w:kern w:val="0"/>
                      <w:sz w:val="18"/>
                      <w:szCs w:val="18"/>
                      <w:u w:val="none"/>
                      <w:lang w:val="en-US" w:eastAsia="zh-CN" w:bidi="ar"/>
                    </w:rPr>
                    <w:t>6.49E-02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17" w:type="dxa"/>
                  <w:noWrap w:val="0"/>
                  <w:vAlign w:val="center"/>
                </w:tcPr>
                <w:p>
                  <w:pPr>
                    <w:pStyle w:val="53"/>
                    <w:ind w:firstLine="0" w:firstLineChars="0"/>
                    <w:jc w:val="center"/>
                    <w:rPr>
                      <w:rFonts w:hint="default" w:ascii="Times New Roman" w:hAnsi="Times New Roman" w:eastAsia="宋体" w:cs="Times New Roman"/>
                      <w:b w:val="0"/>
                      <w:color w:val="auto"/>
                      <w:kern w:val="2"/>
                      <w:sz w:val="18"/>
                      <w:szCs w:val="18"/>
                      <w:lang w:val="en-US" w:eastAsia="zh-CN" w:bidi="ar-SA"/>
                    </w:rPr>
                  </w:pPr>
                  <w:r>
                    <w:rPr>
                      <w:rFonts w:hint="default" w:ascii="Times New Roman" w:hAnsi="Times New Roman" w:cs="Times New Roman"/>
                      <w:color w:val="auto"/>
                      <w:sz w:val="18"/>
                      <w:szCs w:val="18"/>
                      <w:lang w:val="en-US" w:eastAsia="zh-CN"/>
                    </w:rPr>
                    <w:t>设备生产车间西侧道路</w:t>
                  </w:r>
                </w:p>
              </w:tc>
              <w:tc>
                <w:tcPr>
                  <w:tcW w:w="650"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18"/>
                      <w:szCs w:val="18"/>
                      <w:u w:val="single"/>
                    </w:rPr>
                  </w:pPr>
                  <w:r>
                    <w:rPr>
                      <w:rFonts w:hint="default" w:ascii="Times New Roman" w:hAnsi="Times New Roman" w:eastAsia="宋体" w:cs="Times New Roman"/>
                      <w:i w:val="0"/>
                      <w:iCs w:val="0"/>
                      <w:color w:val="000000"/>
                      <w:kern w:val="0"/>
                      <w:sz w:val="18"/>
                      <w:szCs w:val="18"/>
                      <w:u w:val="none"/>
                      <w:lang w:val="en-US" w:eastAsia="zh-CN" w:bidi="ar"/>
                    </w:rPr>
                    <w:t>212</w:t>
                  </w:r>
                </w:p>
              </w:tc>
              <w:tc>
                <w:tcPr>
                  <w:tcW w:w="684"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18"/>
                      <w:szCs w:val="18"/>
                      <w:u w:val="single"/>
                    </w:rPr>
                  </w:pPr>
                  <w:r>
                    <w:rPr>
                      <w:rFonts w:hint="default" w:ascii="Times New Roman" w:hAnsi="Times New Roman" w:eastAsia="宋体" w:cs="Times New Roman"/>
                      <w:i w:val="0"/>
                      <w:iCs w:val="0"/>
                      <w:color w:val="000000"/>
                      <w:kern w:val="0"/>
                      <w:sz w:val="18"/>
                      <w:szCs w:val="18"/>
                      <w:u w:val="none"/>
                      <w:lang w:val="en-US" w:eastAsia="zh-CN" w:bidi="ar"/>
                    </w:rPr>
                    <w:t>527</w:t>
                  </w:r>
                </w:p>
              </w:tc>
              <w:tc>
                <w:tcPr>
                  <w:tcW w:w="666"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18"/>
                      <w:szCs w:val="18"/>
                      <w:u w:val="singl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527</w:t>
                  </w:r>
                </w:p>
              </w:tc>
              <w:tc>
                <w:tcPr>
                  <w:tcW w:w="967" w:type="dxa"/>
                  <w:noWrap w:val="0"/>
                  <w:vAlign w:val="center"/>
                </w:tcPr>
                <w:p>
                  <w:pPr>
                    <w:pStyle w:val="53"/>
                    <w:jc w:val="center"/>
                    <w:rPr>
                      <w:rFonts w:hint="default" w:ascii="Times New Roman" w:hAnsi="Times New Roman" w:eastAsia="宋体" w:cs="Times New Roman"/>
                      <w:color w:val="auto"/>
                      <w:sz w:val="18"/>
                      <w:szCs w:val="18"/>
                      <w:u w:val="single"/>
                      <w:lang w:val="en-US" w:eastAsia="zh-CN"/>
                    </w:rPr>
                  </w:pPr>
                  <w:r>
                    <w:rPr>
                      <w:rFonts w:hint="default" w:ascii="Times New Roman" w:hAnsi="Times New Roman" w:cs="Times New Roman"/>
                      <w:color w:val="auto"/>
                      <w:sz w:val="18"/>
                      <w:szCs w:val="18"/>
                      <w:u w:val="single"/>
                      <w:lang w:val="en-US" w:eastAsia="zh-CN"/>
                    </w:rPr>
                    <w:t>700</w:t>
                  </w:r>
                </w:p>
              </w:tc>
              <w:tc>
                <w:tcPr>
                  <w:tcW w:w="1044"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18"/>
                      <w:szCs w:val="18"/>
                      <w:u w:val="single"/>
                    </w:rPr>
                  </w:pPr>
                  <w:r>
                    <w:rPr>
                      <w:rFonts w:hint="default" w:ascii="Times New Roman" w:hAnsi="Times New Roman" w:eastAsia="宋体" w:cs="Times New Roman"/>
                      <w:i w:val="0"/>
                      <w:iCs w:val="0"/>
                      <w:color w:val="000000"/>
                      <w:kern w:val="0"/>
                      <w:sz w:val="18"/>
                      <w:szCs w:val="18"/>
                      <w:u w:val="none"/>
                      <w:lang w:val="en-US" w:eastAsia="zh-CN" w:bidi="ar"/>
                    </w:rPr>
                    <w:t>2.41E-06</w:t>
                  </w:r>
                </w:p>
              </w:tc>
              <w:tc>
                <w:tcPr>
                  <w:tcW w:w="1044"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18"/>
                      <w:szCs w:val="18"/>
                      <w:u w:val="single"/>
                    </w:rPr>
                  </w:pPr>
                  <w:r>
                    <w:rPr>
                      <w:rFonts w:hint="default" w:ascii="Times New Roman" w:hAnsi="Times New Roman" w:eastAsia="宋体" w:cs="Times New Roman"/>
                      <w:i w:val="0"/>
                      <w:iCs w:val="0"/>
                      <w:color w:val="000000"/>
                      <w:kern w:val="0"/>
                      <w:sz w:val="18"/>
                      <w:szCs w:val="18"/>
                      <w:u w:val="none"/>
                      <w:lang w:val="en-US" w:eastAsia="zh-CN" w:bidi="ar"/>
                    </w:rPr>
                    <w:t>4.69E-02</w:t>
                  </w:r>
                </w:p>
              </w:tc>
              <w:tc>
                <w:tcPr>
                  <w:tcW w:w="1045"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18"/>
                      <w:szCs w:val="18"/>
                      <w:u w:val="single"/>
                    </w:rPr>
                  </w:pPr>
                  <w:r>
                    <w:rPr>
                      <w:rFonts w:hint="default" w:ascii="Times New Roman" w:hAnsi="Times New Roman" w:eastAsia="宋体" w:cs="Times New Roman"/>
                      <w:i w:val="0"/>
                      <w:iCs w:val="0"/>
                      <w:color w:val="000000"/>
                      <w:kern w:val="0"/>
                      <w:sz w:val="18"/>
                      <w:szCs w:val="18"/>
                      <w:u w:val="none"/>
                      <w:lang w:val="en-US" w:eastAsia="zh-CN" w:bidi="ar"/>
                    </w:rPr>
                    <w:t>4.69E-02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17" w:type="dxa"/>
                  <w:noWrap w:val="0"/>
                  <w:vAlign w:val="center"/>
                </w:tcPr>
                <w:p>
                  <w:pPr>
                    <w:pStyle w:val="53"/>
                    <w:ind w:firstLine="0" w:firstLineChars="0"/>
                    <w:jc w:val="center"/>
                    <w:rPr>
                      <w:rFonts w:hint="default" w:ascii="Times New Roman" w:hAnsi="Times New Roman" w:eastAsia="宋体" w:cs="Times New Roman"/>
                      <w:b w:val="0"/>
                      <w:color w:val="auto"/>
                      <w:kern w:val="2"/>
                      <w:sz w:val="18"/>
                      <w:szCs w:val="18"/>
                      <w:lang w:val="en-US" w:eastAsia="zh-CN" w:bidi="ar-SA"/>
                    </w:rPr>
                  </w:pPr>
                  <w:r>
                    <w:rPr>
                      <w:rFonts w:hint="default" w:ascii="Times New Roman" w:hAnsi="Times New Roman" w:cs="Times New Roman"/>
                      <w:color w:val="auto"/>
                      <w:sz w:val="18"/>
                      <w:szCs w:val="18"/>
                      <w:lang w:val="en-US" w:eastAsia="zh-CN"/>
                    </w:rPr>
                    <w:t>设备生产车间东侧道路</w:t>
                  </w:r>
                </w:p>
              </w:tc>
              <w:tc>
                <w:tcPr>
                  <w:tcW w:w="650"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18"/>
                      <w:szCs w:val="18"/>
                      <w:u w:val="single"/>
                    </w:rPr>
                  </w:pPr>
                  <w:r>
                    <w:rPr>
                      <w:rFonts w:hint="default" w:ascii="Times New Roman" w:hAnsi="Times New Roman" w:eastAsia="宋体" w:cs="Times New Roman"/>
                      <w:i w:val="0"/>
                      <w:iCs w:val="0"/>
                      <w:color w:val="000000"/>
                      <w:kern w:val="0"/>
                      <w:sz w:val="18"/>
                      <w:szCs w:val="18"/>
                      <w:u w:val="none"/>
                      <w:lang w:val="en-US" w:eastAsia="zh-CN" w:bidi="ar"/>
                    </w:rPr>
                    <w:t>11</w:t>
                  </w:r>
                </w:p>
              </w:tc>
              <w:tc>
                <w:tcPr>
                  <w:tcW w:w="684"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18"/>
                      <w:szCs w:val="18"/>
                      <w:u w:val="single"/>
                    </w:rPr>
                  </w:pPr>
                  <w:r>
                    <w:rPr>
                      <w:rFonts w:hint="default" w:ascii="Times New Roman" w:hAnsi="Times New Roman" w:eastAsia="宋体" w:cs="Times New Roman"/>
                      <w:i w:val="0"/>
                      <w:iCs w:val="0"/>
                      <w:color w:val="000000"/>
                      <w:kern w:val="0"/>
                      <w:sz w:val="18"/>
                      <w:szCs w:val="18"/>
                      <w:u w:val="none"/>
                      <w:lang w:val="en-US" w:eastAsia="zh-CN" w:bidi="ar"/>
                    </w:rPr>
                    <w:t>343</w:t>
                  </w:r>
                </w:p>
              </w:tc>
              <w:tc>
                <w:tcPr>
                  <w:tcW w:w="666"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18"/>
                      <w:szCs w:val="18"/>
                      <w:u w:val="singl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343</w:t>
                  </w:r>
                </w:p>
              </w:tc>
              <w:tc>
                <w:tcPr>
                  <w:tcW w:w="967" w:type="dxa"/>
                  <w:noWrap w:val="0"/>
                  <w:vAlign w:val="center"/>
                </w:tcPr>
                <w:p>
                  <w:pPr>
                    <w:pStyle w:val="53"/>
                    <w:jc w:val="center"/>
                    <w:rPr>
                      <w:rFonts w:hint="default" w:ascii="Times New Roman" w:hAnsi="Times New Roman" w:cs="Times New Roman"/>
                      <w:color w:val="auto"/>
                      <w:sz w:val="18"/>
                      <w:szCs w:val="18"/>
                      <w:u w:val="single"/>
                    </w:rPr>
                  </w:pPr>
                  <w:r>
                    <w:rPr>
                      <w:rFonts w:hint="default" w:ascii="Times New Roman" w:hAnsi="Times New Roman" w:cs="Times New Roman"/>
                      <w:color w:val="auto"/>
                      <w:sz w:val="18"/>
                      <w:szCs w:val="18"/>
                      <w:u w:val="single"/>
                      <w:lang w:val="en-US" w:eastAsia="zh-CN"/>
                    </w:rPr>
                    <w:t>700</w:t>
                  </w:r>
                </w:p>
              </w:tc>
              <w:tc>
                <w:tcPr>
                  <w:tcW w:w="1044"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18"/>
                      <w:szCs w:val="18"/>
                      <w:u w:val="single"/>
                    </w:rPr>
                  </w:pPr>
                  <w:r>
                    <w:rPr>
                      <w:rFonts w:hint="default" w:ascii="Times New Roman" w:hAnsi="Times New Roman" w:eastAsia="宋体" w:cs="Times New Roman"/>
                      <w:i w:val="0"/>
                      <w:iCs w:val="0"/>
                      <w:color w:val="000000"/>
                      <w:kern w:val="0"/>
                      <w:sz w:val="18"/>
                      <w:szCs w:val="18"/>
                      <w:u w:val="none"/>
                      <w:lang w:val="en-US" w:eastAsia="zh-CN" w:bidi="ar"/>
                    </w:rPr>
                    <w:t>3.47E-08</w:t>
                  </w:r>
                </w:p>
              </w:tc>
              <w:tc>
                <w:tcPr>
                  <w:tcW w:w="1044"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18"/>
                      <w:szCs w:val="18"/>
                      <w:u w:val="single"/>
                    </w:rPr>
                  </w:pPr>
                  <w:r>
                    <w:rPr>
                      <w:rFonts w:hint="default" w:ascii="Times New Roman" w:hAnsi="Times New Roman" w:eastAsia="宋体" w:cs="Times New Roman"/>
                      <w:i w:val="0"/>
                      <w:iCs w:val="0"/>
                      <w:color w:val="000000"/>
                      <w:kern w:val="0"/>
                      <w:sz w:val="18"/>
                      <w:szCs w:val="18"/>
                      <w:u w:val="none"/>
                      <w:lang w:val="en-US" w:eastAsia="zh-CN" w:bidi="ar"/>
                    </w:rPr>
                    <w:t>6.75E-04</w:t>
                  </w:r>
                </w:p>
              </w:tc>
              <w:tc>
                <w:tcPr>
                  <w:tcW w:w="1045"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18"/>
                      <w:szCs w:val="18"/>
                      <w:u w:val="single"/>
                    </w:rPr>
                  </w:pPr>
                  <w:r>
                    <w:rPr>
                      <w:rFonts w:hint="default" w:ascii="Times New Roman" w:hAnsi="Times New Roman" w:eastAsia="宋体" w:cs="Times New Roman"/>
                      <w:i w:val="0"/>
                      <w:iCs w:val="0"/>
                      <w:color w:val="000000"/>
                      <w:kern w:val="0"/>
                      <w:sz w:val="18"/>
                      <w:szCs w:val="18"/>
                      <w:u w:val="none"/>
                      <w:lang w:val="en-US" w:eastAsia="zh-CN" w:bidi="ar"/>
                    </w:rPr>
                    <w:t>6.75E-04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17" w:type="dxa"/>
                  <w:noWrap w:val="0"/>
                  <w:vAlign w:val="center"/>
                </w:tcPr>
                <w:p>
                  <w:pPr>
                    <w:pStyle w:val="53"/>
                    <w:ind w:firstLine="0" w:firstLineChars="0"/>
                    <w:jc w:val="center"/>
                    <w:rPr>
                      <w:rFonts w:hint="default" w:ascii="Times New Roman" w:hAnsi="Times New Roman" w:eastAsia="宋体" w:cs="Times New Roman"/>
                      <w:b w:val="0"/>
                      <w:color w:val="auto"/>
                      <w:kern w:val="2"/>
                      <w:sz w:val="18"/>
                      <w:szCs w:val="18"/>
                      <w:lang w:val="en-US" w:eastAsia="zh-CN" w:bidi="ar-SA"/>
                    </w:rPr>
                  </w:pPr>
                  <w:r>
                    <w:rPr>
                      <w:rFonts w:hint="default" w:ascii="Times New Roman" w:hAnsi="Times New Roman" w:cs="Times New Roman"/>
                      <w:color w:val="auto"/>
                      <w:sz w:val="18"/>
                      <w:szCs w:val="18"/>
                      <w:lang w:val="en-US" w:eastAsia="zh-CN"/>
                    </w:rPr>
                    <w:t>设备生产车间南侧磅房</w:t>
                  </w:r>
                </w:p>
              </w:tc>
              <w:tc>
                <w:tcPr>
                  <w:tcW w:w="650"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18"/>
                      <w:szCs w:val="18"/>
                      <w:u w:val="single"/>
                    </w:rPr>
                  </w:pPr>
                  <w:r>
                    <w:rPr>
                      <w:rFonts w:hint="default" w:ascii="Times New Roman" w:hAnsi="Times New Roman" w:eastAsia="宋体" w:cs="Times New Roman"/>
                      <w:i w:val="0"/>
                      <w:iCs w:val="0"/>
                      <w:color w:val="000000"/>
                      <w:kern w:val="0"/>
                      <w:sz w:val="18"/>
                      <w:szCs w:val="18"/>
                      <w:u w:val="none"/>
                      <w:lang w:val="en-US" w:eastAsia="zh-CN" w:bidi="ar"/>
                    </w:rPr>
                    <w:t>11</w:t>
                  </w:r>
                </w:p>
              </w:tc>
              <w:tc>
                <w:tcPr>
                  <w:tcW w:w="684"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18"/>
                      <w:szCs w:val="18"/>
                      <w:u w:val="single"/>
                    </w:rPr>
                  </w:pPr>
                  <w:r>
                    <w:rPr>
                      <w:rFonts w:hint="default" w:ascii="Times New Roman" w:hAnsi="Times New Roman" w:eastAsia="宋体" w:cs="Times New Roman"/>
                      <w:i w:val="0"/>
                      <w:iCs w:val="0"/>
                      <w:color w:val="000000"/>
                      <w:kern w:val="0"/>
                      <w:sz w:val="18"/>
                      <w:szCs w:val="18"/>
                      <w:u w:val="none"/>
                      <w:lang w:val="en-US" w:eastAsia="zh-CN" w:bidi="ar"/>
                    </w:rPr>
                    <w:t>342</w:t>
                  </w:r>
                </w:p>
              </w:tc>
              <w:tc>
                <w:tcPr>
                  <w:tcW w:w="666"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18"/>
                      <w:szCs w:val="18"/>
                      <w:u w:val="singl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342</w:t>
                  </w:r>
                </w:p>
              </w:tc>
              <w:tc>
                <w:tcPr>
                  <w:tcW w:w="967" w:type="dxa"/>
                  <w:noWrap w:val="0"/>
                  <w:vAlign w:val="center"/>
                </w:tcPr>
                <w:p>
                  <w:pPr>
                    <w:pStyle w:val="53"/>
                    <w:jc w:val="center"/>
                    <w:rPr>
                      <w:rFonts w:hint="default" w:ascii="Times New Roman" w:hAnsi="Times New Roman" w:cs="Times New Roman"/>
                      <w:color w:val="auto"/>
                      <w:sz w:val="18"/>
                      <w:szCs w:val="18"/>
                      <w:u w:val="single"/>
                    </w:rPr>
                  </w:pPr>
                  <w:r>
                    <w:rPr>
                      <w:rFonts w:hint="default" w:ascii="Times New Roman" w:hAnsi="Times New Roman" w:cs="Times New Roman"/>
                      <w:color w:val="auto"/>
                      <w:sz w:val="18"/>
                      <w:szCs w:val="18"/>
                      <w:u w:val="single"/>
                      <w:lang w:val="en-US" w:eastAsia="zh-CN"/>
                    </w:rPr>
                    <w:t>700</w:t>
                  </w:r>
                </w:p>
              </w:tc>
              <w:tc>
                <w:tcPr>
                  <w:tcW w:w="1044"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18"/>
                      <w:szCs w:val="18"/>
                      <w:u w:val="single"/>
                    </w:rPr>
                  </w:pPr>
                  <w:r>
                    <w:rPr>
                      <w:rFonts w:hint="default" w:ascii="Times New Roman" w:hAnsi="Times New Roman" w:eastAsia="宋体" w:cs="Times New Roman"/>
                      <w:i w:val="0"/>
                      <w:iCs w:val="0"/>
                      <w:color w:val="000000"/>
                      <w:kern w:val="0"/>
                      <w:sz w:val="18"/>
                      <w:szCs w:val="18"/>
                      <w:u w:val="none"/>
                      <w:lang w:val="en-US" w:eastAsia="zh-CN" w:bidi="ar"/>
                    </w:rPr>
                    <w:t>3.47E-08</w:t>
                  </w:r>
                </w:p>
              </w:tc>
              <w:tc>
                <w:tcPr>
                  <w:tcW w:w="1044"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18"/>
                      <w:szCs w:val="18"/>
                      <w:u w:val="single"/>
                    </w:rPr>
                  </w:pPr>
                  <w:r>
                    <w:rPr>
                      <w:rFonts w:hint="default" w:ascii="Times New Roman" w:hAnsi="Times New Roman" w:eastAsia="宋体" w:cs="Times New Roman"/>
                      <w:i w:val="0"/>
                      <w:iCs w:val="0"/>
                      <w:color w:val="000000"/>
                      <w:kern w:val="0"/>
                      <w:sz w:val="18"/>
                      <w:szCs w:val="18"/>
                      <w:u w:val="none"/>
                      <w:lang w:val="en-US" w:eastAsia="zh-CN" w:bidi="ar"/>
                    </w:rPr>
                    <w:t>6.58E-04</w:t>
                  </w:r>
                </w:p>
              </w:tc>
              <w:tc>
                <w:tcPr>
                  <w:tcW w:w="1045"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18"/>
                      <w:szCs w:val="18"/>
                      <w:u w:val="single"/>
                    </w:rPr>
                  </w:pPr>
                  <w:r>
                    <w:rPr>
                      <w:rFonts w:hint="default" w:ascii="Times New Roman" w:hAnsi="Times New Roman" w:eastAsia="宋体" w:cs="Times New Roman"/>
                      <w:i w:val="0"/>
                      <w:iCs w:val="0"/>
                      <w:color w:val="000000"/>
                      <w:kern w:val="0"/>
                      <w:sz w:val="18"/>
                      <w:szCs w:val="18"/>
                      <w:u w:val="none"/>
                      <w:lang w:val="en-US" w:eastAsia="zh-CN" w:bidi="ar"/>
                    </w:rPr>
                    <w:t>6.58E-04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17" w:type="dxa"/>
                  <w:noWrap w:val="0"/>
                  <w:vAlign w:val="center"/>
                </w:tcPr>
                <w:p>
                  <w:pPr>
                    <w:pStyle w:val="53"/>
                    <w:ind w:firstLine="0" w:firstLineChars="0"/>
                    <w:jc w:val="center"/>
                    <w:rPr>
                      <w:rFonts w:hint="default" w:ascii="Times New Roman" w:hAnsi="Times New Roman" w:eastAsia="宋体" w:cs="Times New Roman"/>
                      <w:b w:val="0"/>
                      <w:color w:val="auto"/>
                      <w:kern w:val="2"/>
                      <w:sz w:val="18"/>
                      <w:szCs w:val="18"/>
                      <w:lang w:val="en-US" w:eastAsia="zh-CN" w:bidi="ar-SA"/>
                    </w:rPr>
                  </w:pPr>
                  <w:r>
                    <w:rPr>
                      <w:rFonts w:hint="default" w:ascii="Times New Roman" w:hAnsi="Times New Roman" w:cs="Times New Roman"/>
                      <w:color w:val="auto"/>
                      <w:sz w:val="18"/>
                      <w:szCs w:val="18"/>
                      <w:lang w:val="en-US" w:eastAsia="zh-CN"/>
                    </w:rPr>
                    <w:t>探伤室</w:t>
                  </w:r>
                  <w:r>
                    <w:rPr>
                      <w:rFonts w:hint="default" w:ascii="Times New Roman" w:hAnsi="Times New Roman" w:cs="Times New Roman"/>
                      <w:color w:val="auto"/>
                      <w:sz w:val="18"/>
                      <w:szCs w:val="18"/>
                    </w:rPr>
                    <w:t>顶棚</w:t>
                  </w:r>
                </w:p>
              </w:tc>
              <w:tc>
                <w:tcPr>
                  <w:tcW w:w="650"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18"/>
                      <w:szCs w:val="18"/>
                      <w:u w:val="single"/>
                    </w:rPr>
                  </w:pPr>
                  <w:r>
                    <w:rPr>
                      <w:rFonts w:hint="default" w:ascii="Times New Roman" w:hAnsi="Times New Roman" w:eastAsia="宋体" w:cs="Times New Roman"/>
                      <w:i w:val="0"/>
                      <w:iCs w:val="0"/>
                      <w:color w:val="000000"/>
                      <w:kern w:val="0"/>
                      <w:sz w:val="18"/>
                      <w:szCs w:val="18"/>
                      <w:u w:val="none"/>
                      <w:lang w:val="en-US" w:eastAsia="zh-CN" w:bidi="ar"/>
                    </w:rPr>
                    <w:t>147</w:t>
                  </w:r>
                </w:p>
              </w:tc>
              <w:tc>
                <w:tcPr>
                  <w:tcW w:w="684"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18"/>
                      <w:szCs w:val="18"/>
                      <w:u w:val="single"/>
                    </w:rPr>
                  </w:pPr>
                  <w:r>
                    <w:rPr>
                      <w:rFonts w:hint="default" w:ascii="Times New Roman" w:hAnsi="Times New Roman" w:eastAsia="宋体" w:cs="Times New Roman"/>
                      <w:i w:val="0"/>
                      <w:iCs w:val="0"/>
                      <w:color w:val="000000"/>
                      <w:kern w:val="0"/>
                      <w:sz w:val="18"/>
                      <w:szCs w:val="18"/>
                      <w:u w:val="none"/>
                      <w:lang w:val="en-US" w:eastAsia="zh-CN" w:bidi="ar"/>
                    </w:rPr>
                    <w:t>468</w:t>
                  </w:r>
                </w:p>
              </w:tc>
              <w:tc>
                <w:tcPr>
                  <w:tcW w:w="666"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18"/>
                      <w:szCs w:val="18"/>
                      <w:u w:val="singl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468</w:t>
                  </w:r>
                </w:p>
              </w:tc>
              <w:tc>
                <w:tcPr>
                  <w:tcW w:w="967" w:type="dxa"/>
                  <w:noWrap w:val="0"/>
                  <w:vAlign w:val="center"/>
                </w:tcPr>
                <w:p>
                  <w:pPr>
                    <w:pStyle w:val="53"/>
                    <w:jc w:val="center"/>
                    <w:rPr>
                      <w:rFonts w:hint="default" w:ascii="Times New Roman" w:hAnsi="Times New Roman" w:eastAsia="宋体" w:cs="Times New Roman"/>
                      <w:color w:val="auto"/>
                      <w:sz w:val="18"/>
                      <w:szCs w:val="18"/>
                      <w:u w:val="single"/>
                      <w:lang w:val="en-US" w:eastAsia="zh-CN"/>
                    </w:rPr>
                  </w:pPr>
                  <w:r>
                    <w:rPr>
                      <w:rFonts w:hint="default" w:ascii="Times New Roman" w:hAnsi="Times New Roman" w:cs="Times New Roman"/>
                      <w:color w:val="auto"/>
                      <w:sz w:val="18"/>
                      <w:szCs w:val="18"/>
                      <w:u w:val="single"/>
                      <w:lang w:val="en-US" w:eastAsia="zh-CN"/>
                    </w:rPr>
                    <w:t>600</w:t>
                  </w:r>
                </w:p>
              </w:tc>
              <w:tc>
                <w:tcPr>
                  <w:tcW w:w="1044"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18"/>
                      <w:szCs w:val="18"/>
                      <w:u w:val="single"/>
                    </w:rPr>
                  </w:pPr>
                  <w:r>
                    <w:rPr>
                      <w:rFonts w:hint="default" w:ascii="Times New Roman" w:hAnsi="Times New Roman" w:eastAsia="宋体" w:cs="Times New Roman"/>
                      <w:i w:val="0"/>
                      <w:iCs w:val="0"/>
                      <w:color w:val="000000"/>
                      <w:kern w:val="0"/>
                      <w:sz w:val="18"/>
                      <w:szCs w:val="18"/>
                      <w:u w:val="none"/>
                      <w:lang w:val="en-US" w:eastAsia="zh-CN" w:bidi="ar"/>
                    </w:rPr>
                    <w:t>2.47E-05</w:t>
                  </w:r>
                </w:p>
              </w:tc>
              <w:tc>
                <w:tcPr>
                  <w:tcW w:w="1044"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18"/>
                      <w:szCs w:val="18"/>
                      <w:u w:val="single"/>
                    </w:rPr>
                  </w:pPr>
                  <w:r>
                    <w:rPr>
                      <w:rFonts w:hint="default" w:ascii="Times New Roman" w:hAnsi="Times New Roman" w:eastAsia="宋体" w:cs="Times New Roman"/>
                      <w:i w:val="0"/>
                      <w:iCs w:val="0"/>
                      <w:color w:val="000000"/>
                      <w:kern w:val="0"/>
                      <w:sz w:val="18"/>
                      <w:szCs w:val="18"/>
                      <w:u w:val="none"/>
                      <w:lang w:val="en-US" w:eastAsia="zh-CN" w:bidi="ar"/>
                    </w:rPr>
                    <w:t>4.80E-01</w:t>
                  </w:r>
                </w:p>
              </w:tc>
              <w:tc>
                <w:tcPr>
                  <w:tcW w:w="1045"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18"/>
                      <w:szCs w:val="18"/>
                      <w:u w:val="single"/>
                    </w:rPr>
                  </w:pPr>
                  <w:r>
                    <w:rPr>
                      <w:rFonts w:hint="default" w:ascii="Times New Roman" w:hAnsi="Times New Roman" w:eastAsia="宋体" w:cs="Times New Roman"/>
                      <w:i w:val="0"/>
                      <w:iCs w:val="0"/>
                      <w:color w:val="000000"/>
                      <w:kern w:val="0"/>
                      <w:sz w:val="18"/>
                      <w:szCs w:val="18"/>
                      <w:u w:val="none"/>
                      <w:lang w:val="en-US" w:eastAsia="zh-CN" w:bidi="ar"/>
                    </w:rPr>
                    <w:t>4.80E-01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 w:hRule="atLeast"/>
                <w:jc w:val="center"/>
              </w:trPr>
              <w:tc>
                <w:tcPr>
                  <w:tcW w:w="2117" w:type="dxa"/>
                  <w:noWrap w:val="0"/>
                  <w:vAlign w:val="center"/>
                </w:tcPr>
                <w:p>
                  <w:pPr>
                    <w:pStyle w:val="53"/>
                    <w:ind w:firstLine="0" w:firstLineChars="0"/>
                    <w:jc w:val="center"/>
                    <w:rPr>
                      <w:rFonts w:hint="default" w:ascii="Times New Roman" w:hAnsi="Times New Roman" w:eastAsia="宋体" w:cs="Times New Roman"/>
                      <w:b w:val="0"/>
                      <w:color w:val="auto"/>
                      <w:kern w:val="2"/>
                      <w:sz w:val="18"/>
                      <w:szCs w:val="18"/>
                      <w:lang w:val="en-US" w:eastAsia="zh-CN" w:bidi="ar-SA"/>
                    </w:rPr>
                  </w:pPr>
                  <w:r>
                    <w:rPr>
                      <w:rFonts w:hint="default" w:ascii="Times New Roman" w:hAnsi="Times New Roman" w:cs="Times New Roman"/>
                      <w:color w:val="auto"/>
                      <w:sz w:val="18"/>
                      <w:szCs w:val="18"/>
                      <w:lang w:val="en-US" w:eastAsia="zh-CN"/>
                    </w:rPr>
                    <w:t>北侧工业园厂房</w:t>
                  </w:r>
                </w:p>
              </w:tc>
              <w:tc>
                <w:tcPr>
                  <w:tcW w:w="65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single"/>
                      <w:lang w:val="en-US" w:eastAsia="zh-CN"/>
                    </w:rPr>
                  </w:pPr>
                  <w:r>
                    <w:rPr>
                      <w:rFonts w:hint="default" w:ascii="Times New Roman" w:hAnsi="Times New Roman" w:cs="Times New Roman"/>
                      <w:color w:val="auto"/>
                      <w:sz w:val="18"/>
                      <w:szCs w:val="18"/>
                      <w:u w:val="single"/>
                      <w:lang w:val="en-US" w:eastAsia="zh-CN"/>
                    </w:rPr>
                    <w:t>/</w:t>
                  </w:r>
                </w:p>
              </w:tc>
              <w:tc>
                <w:tcPr>
                  <w:tcW w:w="684"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single"/>
                      <w:lang w:val="en-US" w:eastAsia="zh-CN"/>
                    </w:rPr>
                  </w:pPr>
                  <w:r>
                    <w:rPr>
                      <w:rFonts w:hint="default" w:ascii="Times New Roman" w:hAnsi="Times New Roman" w:cs="Times New Roman"/>
                      <w:color w:val="auto"/>
                      <w:sz w:val="18"/>
                      <w:szCs w:val="18"/>
                      <w:u w:val="single"/>
                      <w:lang w:val="en-US" w:eastAsia="zh-CN"/>
                    </w:rPr>
                    <w:t>/</w:t>
                  </w:r>
                </w:p>
              </w:tc>
              <w:tc>
                <w:tcPr>
                  <w:tcW w:w="666"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18"/>
                      <w:szCs w:val="18"/>
                      <w:u w:val="single"/>
                    </w:rPr>
                  </w:pPr>
                  <w:r>
                    <w:rPr>
                      <w:rFonts w:hint="default" w:ascii="Times New Roman" w:hAnsi="Times New Roman" w:eastAsia="宋体" w:cs="Times New Roman"/>
                      <w:i w:val="0"/>
                      <w:iCs w:val="0"/>
                      <w:color w:val="000000"/>
                      <w:kern w:val="0"/>
                      <w:sz w:val="18"/>
                      <w:szCs w:val="18"/>
                      <w:u w:val="none"/>
                      <w:lang w:val="en-US" w:eastAsia="zh-CN" w:bidi="ar"/>
                    </w:rPr>
                    <w:t>562</w:t>
                  </w:r>
                </w:p>
              </w:tc>
              <w:tc>
                <w:tcPr>
                  <w:tcW w:w="967" w:type="dxa"/>
                  <w:noWrap w:val="0"/>
                  <w:vAlign w:val="center"/>
                </w:tcPr>
                <w:p>
                  <w:pPr>
                    <w:pStyle w:val="53"/>
                    <w:jc w:val="center"/>
                    <w:rPr>
                      <w:rFonts w:hint="default" w:ascii="Times New Roman" w:hAnsi="Times New Roman" w:eastAsia="宋体" w:cs="Times New Roman"/>
                      <w:color w:val="auto"/>
                      <w:sz w:val="18"/>
                      <w:szCs w:val="18"/>
                      <w:u w:val="single"/>
                      <w:lang w:val="en-US" w:eastAsia="zh-CN"/>
                    </w:rPr>
                  </w:pPr>
                  <w:r>
                    <w:rPr>
                      <w:rFonts w:hint="default" w:ascii="Times New Roman" w:hAnsi="Times New Roman" w:cs="Times New Roman"/>
                      <w:color w:val="auto"/>
                      <w:sz w:val="18"/>
                      <w:szCs w:val="18"/>
                      <w:u w:val="single"/>
                      <w:lang w:val="en-US" w:eastAsia="zh-CN"/>
                    </w:rPr>
                    <w:t>900</w:t>
                  </w:r>
                </w:p>
              </w:tc>
              <w:tc>
                <w:tcPr>
                  <w:tcW w:w="1044"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single"/>
                      <w:lang w:val="en-US" w:eastAsia="zh-CN"/>
                    </w:rPr>
                  </w:pPr>
                  <w:r>
                    <w:rPr>
                      <w:rFonts w:hint="default" w:ascii="Times New Roman" w:hAnsi="Times New Roman" w:cs="Times New Roman"/>
                      <w:color w:val="auto"/>
                      <w:sz w:val="18"/>
                      <w:szCs w:val="18"/>
                      <w:u w:val="single"/>
                      <w:lang w:val="en-US" w:eastAsia="zh-CN"/>
                    </w:rPr>
                    <w:t>/</w:t>
                  </w:r>
                </w:p>
              </w:tc>
              <w:tc>
                <w:tcPr>
                  <w:tcW w:w="1044"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single"/>
                      <w:lang w:val="en-US" w:eastAsia="zh-CN"/>
                    </w:rPr>
                  </w:pPr>
                  <w:r>
                    <w:rPr>
                      <w:rFonts w:hint="default" w:ascii="Times New Roman" w:hAnsi="Times New Roman" w:cs="Times New Roman"/>
                      <w:color w:val="auto"/>
                      <w:sz w:val="18"/>
                      <w:szCs w:val="18"/>
                      <w:u w:val="single"/>
                      <w:lang w:val="en-US" w:eastAsia="zh-CN"/>
                    </w:rPr>
                    <w:t>/</w:t>
                  </w:r>
                </w:p>
              </w:tc>
              <w:tc>
                <w:tcPr>
                  <w:tcW w:w="1045" w:type="dxa"/>
                  <w:noWrap w:val="0"/>
                  <w:vAlign w:val="center"/>
                </w:tcPr>
                <w:p>
                  <w:pPr>
                    <w:pStyle w:val="53"/>
                    <w:bidi w:val="0"/>
                    <w:rPr>
                      <w:rFonts w:hint="default"/>
                      <w:sz w:val="18"/>
                      <w:szCs w:val="18"/>
                      <w:lang w:val="en-US"/>
                    </w:rPr>
                  </w:pPr>
                  <w:r>
                    <w:rPr>
                      <w:rFonts w:hint="eastAsia"/>
                      <w:sz w:val="18"/>
                      <w:szCs w:val="18"/>
                      <w:lang w:val="en-US" w:eastAsia="zh-CN"/>
                    </w:rPr>
                    <w:t>2.04E-03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17" w:type="dxa"/>
                  <w:noWrap w:val="0"/>
                  <w:vAlign w:val="center"/>
                </w:tcPr>
                <w:p>
                  <w:pPr>
                    <w:pStyle w:val="53"/>
                    <w:jc w:val="center"/>
                    <w:rPr>
                      <w:rFonts w:hint="default" w:ascii="Times New Roman" w:hAnsi="Times New Roman" w:eastAsia="宋体" w:cs="Times New Roman"/>
                      <w:b w:val="0"/>
                      <w:color w:val="auto"/>
                      <w:kern w:val="2"/>
                      <w:sz w:val="18"/>
                      <w:szCs w:val="18"/>
                      <w:lang w:val="en-US" w:eastAsia="zh-CN" w:bidi="ar-SA"/>
                    </w:rPr>
                  </w:pPr>
                  <w:r>
                    <w:rPr>
                      <w:rFonts w:hint="default" w:ascii="Times New Roman" w:hAnsi="Times New Roman" w:cs="Times New Roman"/>
                      <w:color w:val="auto"/>
                      <w:sz w:val="18"/>
                      <w:szCs w:val="18"/>
                    </w:rPr>
                    <w:t>探伤室北侧墙体外30cm</w:t>
                  </w:r>
                  <w:r>
                    <w:rPr>
                      <w:rFonts w:hint="default" w:ascii="Times New Roman" w:hAnsi="Times New Roman" w:cs="Times New Roman"/>
                      <w:color w:val="auto"/>
                      <w:sz w:val="18"/>
                      <w:szCs w:val="18"/>
                      <w:lang w:eastAsia="zh-CN"/>
                    </w:rPr>
                    <w:t>（</w:t>
                  </w:r>
                  <w:r>
                    <w:rPr>
                      <w:rFonts w:hint="default" w:ascii="Times New Roman" w:hAnsi="Times New Roman" w:cs="Times New Roman"/>
                      <w:color w:val="auto"/>
                      <w:sz w:val="18"/>
                      <w:szCs w:val="18"/>
                      <w:lang w:val="en-US" w:eastAsia="zh-CN"/>
                    </w:rPr>
                    <w:t>设备生产车间内</w:t>
                  </w:r>
                  <w:r>
                    <w:rPr>
                      <w:rFonts w:hint="default" w:ascii="Times New Roman" w:hAnsi="Times New Roman" w:cs="Times New Roman"/>
                      <w:color w:val="auto"/>
                      <w:sz w:val="18"/>
                      <w:szCs w:val="18"/>
                      <w:lang w:eastAsia="zh-CN"/>
                    </w:rPr>
                    <w:t>）</w:t>
                  </w:r>
                </w:p>
              </w:tc>
              <w:tc>
                <w:tcPr>
                  <w:tcW w:w="65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single"/>
                      <w:lang w:val="en-US" w:eastAsia="zh-CN"/>
                    </w:rPr>
                  </w:pPr>
                  <w:r>
                    <w:rPr>
                      <w:rFonts w:hint="default" w:ascii="Times New Roman" w:hAnsi="Times New Roman" w:cs="Times New Roman"/>
                      <w:color w:val="auto"/>
                      <w:sz w:val="18"/>
                      <w:szCs w:val="18"/>
                      <w:u w:val="single"/>
                      <w:lang w:val="en-US" w:eastAsia="zh-CN"/>
                    </w:rPr>
                    <w:t>/</w:t>
                  </w:r>
                </w:p>
              </w:tc>
              <w:tc>
                <w:tcPr>
                  <w:tcW w:w="684"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single"/>
                      <w:lang w:val="en-US" w:eastAsia="zh-CN"/>
                    </w:rPr>
                  </w:pPr>
                  <w:r>
                    <w:rPr>
                      <w:rFonts w:hint="default" w:ascii="Times New Roman" w:hAnsi="Times New Roman" w:cs="Times New Roman"/>
                      <w:color w:val="auto"/>
                      <w:sz w:val="18"/>
                      <w:szCs w:val="18"/>
                      <w:u w:val="single"/>
                      <w:lang w:val="en-US" w:eastAsia="zh-CN"/>
                    </w:rPr>
                    <w:t>/</w:t>
                  </w:r>
                </w:p>
              </w:tc>
              <w:tc>
                <w:tcPr>
                  <w:tcW w:w="666"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single"/>
                      <w:lang w:val="en-US" w:eastAsia="zh-CN"/>
                    </w:rPr>
                  </w:pPr>
                  <w:r>
                    <w:rPr>
                      <w:rFonts w:hint="default" w:ascii="Times New Roman" w:hAnsi="Times New Roman" w:eastAsia="宋体" w:cs="Times New Roman"/>
                      <w:i w:val="0"/>
                      <w:iCs w:val="0"/>
                      <w:color w:val="000000"/>
                      <w:kern w:val="0"/>
                      <w:sz w:val="18"/>
                      <w:szCs w:val="18"/>
                      <w:u w:val="none"/>
                      <w:lang w:val="en-US" w:eastAsia="zh-CN" w:bidi="ar"/>
                    </w:rPr>
                    <w:t>786</w:t>
                  </w:r>
                </w:p>
              </w:tc>
              <w:tc>
                <w:tcPr>
                  <w:tcW w:w="967" w:type="dxa"/>
                  <w:noWrap w:val="0"/>
                  <w:vAlign w:val="center"/>
                </w:tcPr>
                <w:p>
                  <w:pPr>
                    <w:pStyle w:val="53"/>
                    <w:jc w:val="center"/>
                    <w:rPr>
                      <w:rFonts w:hint="default" w:ascii="Times New Roman" w:hAnsi="Times New Roman" w:cs="Times New Roman"/>
                      <w:color w:val="auto"/>
                      <w:sz w:val="18"/>
                      <w:szCs w:val="18"/>
                      <w:u w:val="single"/>
                    </w:rPr>
                  </w:pPr>
                  <w:r>
                    <w:rPr>
                      <w:rFonts w:hint="default" w:ascii="Times New Roman" w:hAnsi="Times New Roman" w:cs="Times New Roman"/>
                      <w:color w:val="auto"/>
                      <w:sz w:val="18"/>
                      <w:szCs w:val="18"/>
                      <w:u w:val="single"/>
                      <w:lang w:val="en-US" w:eastAsia="zh-CN"/>
                    </w:rPr>
                    <w:t>900</w:t>
                  </w:r>
                </w:p>
              </w:tc>
              <w:tc>
                <w:tcPr>
                  <w:tcW w:w="1044"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single"/>
                      <w:lang w:val="en-US" w:eastAsia="zh-CN"/>
                    </w:rPr>
                  </w:pPr>
                  <w:r>
                    <w:rPr>
                      <w:rFonts w:hint="default" w:ascii="Times New Roman" w:hAnsi="Times New Roman" w:cs="Times New Roman"/>
                      <w:color w:val="auto"/>
                      <w:sz w:val="18"/>
                      <w:szCs w:val="18"/>
                      <w:u w:val="single"/>
                      <w:lang w:val="en-US" w:eastAsia="zh-CN"/>
                    </w:rPr>
                    <w:t>/</w:t>
                  </w:r>
                </w:p>
              </w:tc>
              <w:tc>
                <w:tcPr>
                  <w:tcW w:w="1044"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single"/>
                      <w:lang w:val="en-US" w:eastAsia="zh-CN"/>
                    </w:rPr>
                  </w:pPr>
                  <w:r>
                    <w:rPr>
                      <w:rFonts w:hint="default" w:ascii="Times New Roman" w:hAnsi="Times New Roman" w:cs="Times New Roman"/>
                      <w:color w:val="auto"/>
                      <w:sz w:val="18"/>
                      <w:szCs w:val="18"/>
                      <w:u w:val="single"/>
                      <w:lang w:val="en-US" w:eastAsia="zh-CN"/>
                    </w:rPr>
                    <w:t>/</w:t>
                  </w:r>
                </w:p>
              </w:tc>
              <w:tc>
                <w:tcPr>
                  <w:tcW w:w="1045" w:type="dxa"/>
                  <w:noWrap w:val="0"/>
                  <w:vAlign w:val="center"/>
                </w:tcPr>
                <w:p>
                  <w:pPr>
                    <w:pStyle w:val="53"/>
                    <w:bidi w:val="0"/>
                    <w:rPr>
                      <w:rFonts w:hint="default"/>
                      <w:sz w:val="18"/>
                      <w:szCs w:val="18"/>
                    </w:rPr>
                  </w:pPr>
                  <w:r>
                    <w:rPr>
                      <w:rFonts w:hint="eastAsia"/>
                      <w:sz w:val="18"/>
                      <w:szCs w:val="18"/>
                      <w:lang w:val="en-US" w:eastAsia="zh-CN"/>
                    </w:rPr>
                    <w:t>2.26E-01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17" w:type="dxa"/>
                  <w:noWrap w:val="0"/>
                  <w:vAlign w:val="center"/>
                </w:tcPr>
                <w:p>
                  <w:pPr>
                    <w:pStyle w:val="53"/>
                    <w:ind w:firstLine="0" w:firstLineChars="0"/>
                    <w:jc w:val="center"/>
                    <w:rPr>
                      <w:rFonts w:hint="default" w:ascii="Times New Roman" w:hAnsi="Times New Roman" w:eastAsia="宋体" w:cs="Times New Roman"/>
                      <w:b w:val="0"/>
                      <w:color w:val="auto"/>
                      <w:kern w:val="2"/>
                      <w:sz w:val="18"/>
                      <w:szCs w:val="18"/>
                      <w:lang w:val="en-US" w:eastAsia="zh-CN" w:bidi="ar-SA"/>
                    </w:rPr>
                  </w:pPr>
                  <w:r>
                    <w:rPr>
                      <w:rFonts w:hint="default" w:ascii="Times New Roman" w:hAnsi="Times New Roman" w:cs="Times New Roman"/>
                      <w:color w:val="auto"/>
                      <w:sz w:val="18"/>
                      <w:szCs w:val="18"/>
                      <w:lang w:val="en-US" w:eastAsia="zh-CN"/>
                    </w:rPr>
                    <w:t>设备生产车间北侧道路</w:t>
                  </w:r>
                </w:p>
              </w:tc>
              <w:tc>
                <w:tcPr>
                  <w:tcW w:w="65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single"/>
                      <w:lang w:val="en-US" w:eastAsia="zh-CN"/>
                    </w:rPr>
                  </w:pPr>
                  <w:r>
                    <w:rPr>
                      <w:rFonts w:hint="default" w:ascii="Times New Roman" w:hAnsi="Times New Roman" w:cs="Times New Roman"/>
                      <w:color w:val="auto"/>
                      <w:sz w:val="18"/>
                      <w:szCs w:val="18"/>
                      <w:u w:val="single"/>
                      <w:lang w:val="en-US" w:eastAsia="zh-CN"/>
                    </w:rPr>
                    <w:t>/</w:t>
                  </w:r>
                </w:p>
              </w:tc>
              <w:tc>
                <w:tcPr>
                  <w:tcW w:w="684"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single"/>
                      <w:lang w:val="en-US" w:eastAsia="zh-CN"/>
                    </w:rPr>
                  </w:pPr>
                  <w:r>
                    <w:rPr>
                      <w:rFonts w:hint="default" w:ascii="Times New Roman" w:hAnsi="Times New Roman" w:cs="Times New Roman"/>
                      <w:color w:val="auto"/>
                      <w:sz w:val="18"/>
                      <w:szCs w:val="18"/>
                      <w:u w:val="single"/>
                      <w:lang w:val="en-US" w:eastAsia="zh-CN"/>
                    </w:rPr>
                    <w:t>/</w:t>
                  </w:r>
                </w:p>
              </w:tc>
              <w:tc>
                <w:tcPr>
                  <w:tcW w:w="666"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single"/>
                      <w:lang w:val="en-US" w:eastAsia="zh-CN"/>
                    </w:rPr>
                  </w:pPr>
                  <w:r>
                    <w:rPr>
                      <w:rFonts w:hint="default" w:ascii="Times New Roman" w:hAnsi="Times New Roman" w:eastAsia="宋体" w:cs="Times New Roman"/>
                      <w:i w:val="0"/>
                      <w:iCs w:val="0"/>
                      <w:color w:val="000000"/>
                      <w:kern w:val="0"/>
                      <w:sz w:val="18"/>
                      <w:szCs w:val="18"/>
                      <w:u w:val="none"/>
                      <w:lang w:val="en-US" w:eastAsia="zh-CN" w:bidi="ar"/>
                    </w:rPr>
                    <w:t>760</w:t>
                  </w:r>
                </w:p>
              </w:tc>
              <w:tc>
                <w:tcPr>
                  <w:tcW w:w="967" w:type="dxa"/>
                  <w:noWrap w:val="0"/>
                  <w:vAlign w:val="center"/>
                </w:tcPr>
                <w:p>
                  <w:pPr>
                    <w:pStyle w:val="53"/>
                    <w:jc w:val="center"/>
                    <w:rPr>
                      <w:rFonts w:hint="default" w:ascii="Times New Roman" w:hAnsi="Times New Roman" w:cs="Times New Roman"/>
                      <w:color w:val="auto"/>
                      <w:sz w:val="18"/>
                      <w:szCs w:val="18"/>
                      <w:u w:val="single"/>
                    </w:rPr>
                  </w:pPr>
                  <w:r>
                    <w:rPr>
                      <w:rFonts w:hint="default" w:ascii="Times New Roman" w:hAnsi="Times New Roman" w:cs="Times New Roman"/>
                      <w:color w:val="auto"/>
                      <w:sz w:val="18"/>
                      <w:szCs w:val="18"/>
                      <w:u w:val="single"/>
                      <w:lang w:val="en-US" w:eastAsia="zh-CN"/>
                    </w:rPr>
                    <w:t>900</w:t>
                  </w:r>
                </w:p>
              </w:tc>
              <w:tc>
                <w:tcPr>
                  <w:tcW w:w="1044"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single"/>
                      <w:lang w:val="en-US" w:eastAsia="zh-CN"/>
                    </w:rPr>
                  </w:pPr>
                  <w:r>
                    <w:rPr>
                      <w:rFonts w:hint="default" w:ascii="Times New Roman" w:hAnsi="Times New Roman" w:cs="Times New Roman"/>
                      <w:color w:val="auto"/>
                      <w:sz w:val="18"/>
                      <w:szCs w:val="18"/>
                      <w:u w:val="single"/>
                      <w:lang w:val="en-US" w:eastAsia="zh-CN"/>
                    </w:rPr>
                    <w:t>/</w:t>
                  </w:r>
                </w:p>
              </w:tc>
              <w:tc>
                <w:tcPr>
                  <w:tcW w:w="1044"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single"/>
                      <w:lang w:val="en-US" w:eastAsia="zh-CN"/>
                    </w:rPr>
                  </w:pPr>
                  <w:r>
                    <w:rPr>
                      <w:rFonts w:hint="default" w:ascii="Times New Roman" w:hAnsi="Times New Roman" w:cs="Times New Roman"/>
                      <w:color w:val="auto"/>
                      <w:sz w:val="18"/>
                      <w:szCs w:val="18"/>
                      <w:u w:val="single"/>
                      <w:lang w:val="en-US" w:eastAsia="zh-CN"/>
                    </w:rPr>
                    <w:t>/</w:t>
                  </w:r>
                </w:p>
              </w:tc>
              <w:tc>
                <w:tcPr>
                  <w:tcW w:w="1045" w:type="dxa"/>
                  <w:noWrap w:val="0"/>
                  <w:vAlign w:val="center"/>
                </w:tcPr>
                <w:p>
                  <w:pPr>
                    <w:pStyle w:val="53"/>
                    <w:bidi w:val="0"/>
                    <w:rPr>
                      <w:rFonts w:hint="default"/>
                      <w:sz w:val="18"/>
                      <w:szCs w:val="18"/>
                    </w:rPr>
                  </w:pPr>
                  <w:r>
                    <w:rPr>
                      <w:rFonts w:hint="eastAsia"/>
                      <w:sz w:val="18"/>
                      <w:szCs w:val="18"/>
                      <w:lang w:val="en-US" w:eastAsia="zh-CN"/>
                    </w:rPr>
                    <w:t>1.30E-01</w:t>
                  </w:r>
                </w:p>
              </w:tc>
            </w:tr>
          </w:tbl>
          <w:p>
            <w:pPr>
              <w:pStyle w:val="47"/>
              <w:ind w:firstLine="420"/>
              <w:rPr>
                <w:rFonts w:hint="default" w:ascii="Times New Roman" w:hAnsi="Times New Roman" w:cs="Times New Roman"/>
                <w:color w:val="auto"/>
                <w:kern w:val="0"/>
                <w:sz w:val="21"/>
                <w:szCs w:val="21"/>
                <w:u w:val="single"/>
              </w:rPr>
            </w:pPr>
            <w:r>
              <w:rPr>
                <w:rFonts w:hint="default" w:ascii="Times New Roman" w:hAnsi="Times New Roman" w:cs="Times New Roman"/>
                <w:color w:val="auto"/>
                <w:kern w:val="0"/>
                <w:sz w:val="21"/>
                <w:szCs w:val="21"/>
                <w:u w:val="single"/>
              </w:rPr>
              <w:t>备注：</w:t>
            </w:r>
            <w:r>
              <w:rPr>
                <w:rFonts w:hint="eastAsia" w:cs="Times New Roman"/>
                <w:color w:val="auto"/>
                <w:kern w:val="0"/>
                <w:sz w:val="21"/>
                <w:szCs w:val="21"/>
                <w:u w:val="single"/>
                <w:lang w:eastAsia="zh-CN"/>
              </w:rPr>
              <w:t>（</w:t>
            </w:r>
            <w:r>
              <w:rPr>
                <w:rFonts w:hint="eastAsia" w:cs="Times New Roman"/>
                <w:color w:val="auto"/>
                <w:kern w:val="0"/>
                <w:sz w:val="21"/>
                <w:szCs w:val="21"/>
                <w:u w:val="single"/>
                <w:lang w:val="en-US" w:eastAsia="zh-CN"/>
              </w:rPr>
              <w:t>1</w:t>
            </w:r>
            <w:r>
              <w:rPr>
                <w:rFonts w:hint="eastAsia" w:cs="Times New Roman"/>
                <w:color w:val="auto"/>
                <w:kern w:val="0"/>
                <w:sz w:val="21"/>
                <w:szCs w:val="21"/>
                <w:u w:val="single"/>
                <w:lang w:eastAsia="zh-CN"/>
              </w:rPr>
              <w:t>）</w:t>
            </w:r>
            <w:r>
              <w:rPr>
                <w:rFonts w:hint="eastAsia" w:cs="Times New Roman"/>
                <w:color w:val="auto"/>
                <w:kern w:val="0"/>
                <w:sz w:val="21"/>
                <w:szCs w:val="21"/>
                <w:u w:val="single"/>
                <w:lang w:val="en-US" w:eastAsia="zh-CN"/>
              </w:rPr>
              <w:t>主射方向上的关注点</w:t>
            </w:r>
            <w:r>
              <w:rPr>
                <w:rFonts w:hint="default" w:ascii="Times New Roman" w:hAnsi="Times New Roman" w:cs="Times New Roman"/>
                <w:color w:val="auto"/>
                <w:kern w:val="0"/>
                <w:sz w:val="21"/>
                <w:szCs w:val="21"/>
                <w:u w:val="single"/>
              </w:rPr>
              <w:t>复合取值数值</w:t>
            </w:r>
            <w:r>
              <w:rPr>
                <w:rFonts w:hint="eastAsia" w:cs="Times New Roman"/>
                <w:color w:val="auto"/>
                <w:kern w:val="0"/>
                <w:sz w:val="21"/>
                <w:szCs w:val="21"/>
                <w:u w:val="single"/>
                <w:lang w:val="en-US" w:eastAsia="zh-CN"/>
              </w:rPr>
              <w:t>对应为</w:t>
            </w:r>
            <w:r>
              <w:rPr>
                <w:rFonts w:hint="default" w:ascii="Times New Roman" w:hAnsi="Times New Roman" w:cs="Times New Roman"/>
                <w:color w:val="auto"/>
                <w:kern w:val="0"/>
                <w:sz w:val="21"/>
                <w:szCs w:val="21"/>
                <w:u w:val="single"/>
              </w:rPr>
              <w:t>主射估算结果。</w:t>
            </w:r>
          </w:p>
          <w:p>
            <w:pPr>
              <w:pStyle w:val="47"/>
              <w:numPr>
                <w:ilvl w:val="0"/>
                <w:numId w:val="5"/>
              </w:numPr>
              <w:ind w:firstLine="420"/>
              <w:rPr>
                <w:rFonts w:hint="eastAsia" w:cs="Times New Roman"/>
                <w:color w:val="auto"/>
                <w:kern w:val="0"/>
                <w:sz w:val="21"/>
                <w:szCs w:val="21"/>
                <w:u w:val="single"/>
                <w:lang w:val="en-US" w:eastAsia="zh-CN"/>
              </w:rPr>
            </w:pPr>
            <w:r>
              <w:rPr>
                <w:rFonts w:hint="eastAsia" w:cs="Times New Roman"/>
                <w:color w:val="auto"/>
                <w:kern w:val="0"/>
                <w:sz w:val="21"/>
                <w:szCs w:val="21"/>
                <w:u w:val="single"/>
                <w:lang w:val="en-US" w:eastAsia="zh-CN"/>
              </w:rPr>
              <w:t>上表中</w:t>
            </w:r>
            <w:r>
              <w:rPr>
                <w:rFonts w:hint="eastAsia" w:cs="Times New Roman"/>
                <w:color w:val="auto"/>
                <w:kern w:val="0"/>
                <w:sz w:val="21"/>
                <w:szCs w:val="21"/>
                <w:u w:val="single"/>
                <w:lang w:eastAsia="zh-CN"/>
              </w:rPr>
              <w:t>理论计算所需要的混凝土/铅门厚度</w:t>
            </w:r>
            <w:r>
              <w:rPr>
                <w:rFonts w:hint="eastAsia" w:cs="Times New Roman"/>
                <w:color w:val="auto"/>
                <w:kern w:val="0"/>
                <w:sz w:val="21"/>
                <w:szCs w:val="21"/>
                <w:u w:val="single"/>
                <w:lang w:val="en-US" w:eastAsia="zh-CN"/>
              </w:rPr>
              <w:t>的复合值，当漏射、散失的屏蔽厚度相差不足一个什值层（混凝土109.5mm、铅9.3mm）时，则在较厚的屏蔽上增加一个半值层厚度（混凝土33mm、铅2.8mm）。</w:t>
            </w:r>
          </w:p>
          <w:p>
            <w:pPr>
              <w:pStyle w:val="47"/>
              <w:rPr>
                <w:rFonts w:hint="default" w:ascii="Times New Roman" w:hAnsi="Times New Roman" w:cs="Times New Roman"/>
                <w:color w:val="auto"/>
                <w:kern w:val="0"/>
              </w:rPr>
            </w:pPr>
            <w:r>
              <w:rPr>
                <w:rFonts w:hint="default" w:ascii="Times New Roman" w:hAnsi="Times New Roman" w:cs="Times New Roman"/>
                <w:color w:val="auto"/>
                <w:kern w:val="0"/>
              </w:rPr>
              <w:t>参照《工业X射线探伤放射防护要求》（GBZ117－2015）的屏蔽估算方法，表11-</w:t>
            </w:r>
            <w:r>
              <w:rPr>
                <w:rFonts w:hint="eastAsia" w:cs="Times New Roman"/>
                <w:color w:val="auto"/>
                <w:kern w:val="0"/>
                <w:lang w:val="en-US" w:eastAsia="zh-CN"/>
              </w:rPr>
              <w:t>6</w:t>
            </w:r>
            <w:r>
              <w:rPr>
                <w:rFonts w:hint="default" w:ascii="Times New Roman" w:hAnsi="Times New Roman" w:cs="Times New Roman"/>
                <w:color w:val="auto"/>
                <w:kern w:val="0"/>
              </w:rPr>
              <w:t>表明，建设单位提供的探伤室设计方案，其墙体、顶棚及</w:t>
            </w:r>
            <w:r>
              <w:rPr>
                <w:rFonts w:hint="eastAsia" w:cs="Times New Roman"/>
                <w:color w:val="auto"/>
                <w:kern w:val="0"/>
                <w:lang w:val="en-US" w:eastAsia="zh-CN"/>
              </w:rPr>
              <w:t>铅门</w:t>
            </w:r>
            <w:r>
              <w:rPr>
                <w:rFonts w:hint="default" w:ascii="Times New Roman" w:hAnsi="Times New Roman" w:cs="Times New Roman"/>
                <w:color w:val="auto"/>
                <w:kern w:val="0"/>
              </w:rPr>
              <w:t>的设计屏蔽厚度大于估算厚度，说明该项目探伤室设计合理。在实际操作过程中，X射线机和防护体之间还隔有待检工件，其对射线有一定的衰减作用，X射线探伤机工况通常小于最大工况，实际在关注点的剂量率会小于理论估算结果。</w:t>
            </w:r>
          </w:p>
          <w:p>
            <w:pPr>
              <w:pStyle w:val="42"/>
              <w:rPr>
                <w:rFonts w:hint="default" w:ascii="Times New Roman" w:hAnsi="Times New Roman" w:cs="Times New Roman"/>
                <w:color w:val="auto"/>
              </w:rPr>
            </w:pPr>
            <w:r>
              <w:rPr>
                <w:rFonts w:hint="default" w:ascii="Times New Roman" w:hAnsi="Times New Roman" w:cs="Times New Roman"/>
                <w:color w:val="auto"/>
              </w:rPr>
              <w:t>11.2.4剂量估算</w:t>
            </w:r>
          </w:p>
          <w:p>
            <w:pPr>
              <w:pStyle w:val="42"/>
              <w:rPr>
                <w:rFonts w:hint="default" w:ascii="Times New Roman" w:hAnsi="Times New Roman" w:cs="Times New Roman"/>
                <w:color w:val="auto"/>
              </w:rPr>
            </w:pPr>
            <w:r>
              <w:rPr>
                <w:rFonts w:hint="default" w:ascii="Times New Roman" w:hAnsi="Times New Roman" w:cs="Times New Roman"/>
                <w:color w:val="auto"/>
              </w:rPr>
              <w:t>（1）估算公式</w:t>
            </w:r>
          </w:p>
          <w:p>
            <w:pPr>
              <w:pStyle w:val="47"/>
              <w:rPr>
                <w:rFonts w:hint="default" w:ascii="Times New Roman" w:hAnsi="Times New Roman" w:cs="Times New Roman"/>
                <w:color w:val="auto"/>
              </w:rPr>
            </w:pPr>
            <w:r>
              <w:rPr>
                <w:rFonts w:hint="default" w:ascii="Times New Roman" w:hAnsi="Times New Roman" w:cs="Times New Roman"/>
                <w:color w:val="auto"/>
              </w:rPr>
              <w:t>按照联合国原子辐射效应科学委员会（UNSCEAR）-2000年报告附录A，X-γ射线产生的外照射人均年有效当量剂量按下列公式计算：</w:t>
            </w:r>
          </w:p>
          <w:p>
            <w:pPr>
              <w:pStyle w:val="47"/>
              <w:jc w:val="center"/>
              <w:rPr>
                <w:rFonts w:hint="default" w:ascii="Times New Roman" w:hAnsi="Times New Roman" w:cs="Times New Roman"/>
                <w:color w:val="auto"/>
              </w:rPr>
            </w:pPr>
            <w:r>
              <w:rPr>
                <w:rFonts w:hint="eastAsia" w:cs="Times New Roman"/>
                <w:color w:val="auto"/>
                <w:sz w:val="24"/>
                <w:szCs w:val="24"/>
                <w:lang w:val="en-US" w:eastAsia="zh-CN"/>
              </w:rPr>
              <w:t>H</w:t>
            </w:r>
            <w:r>
              <w:rPr>
                <w:rFonts w:hint="eastAsia" w:cs="Times New Roman"/>
                <w:color w:val="auto"/>
                <w:sz w:val="24"/>
                <w:szCs w:val="24"/>
                <w:vertAlign w:val="subscript"/>
                <w:lang w:val="en-US" w:eastAsia="zh-CN"/>
              </w:rPr>
              <w:t>Er</w:t>
            </w:r>
            <w:r>
              <w:rPr>
                <w:rFonts w:hint="eastAsia" w:cs="Times New Roman"/>
                <w:color w:val="auto"/>
                <w:sz w:val="24"/>
                <w:szCs w:val="24"/>
                <w:lang w:val="en-US" w:eastAsia="zh-CN"/>
              </w:rPr>
              <w:t>=Dr×t×10</w:t>
            </w:r>
            <w:r>
              <w:rPr>
                <w:rFonts w:hint="eastAsia" w:cs="Times New Roman"/>
                <w:color w:val="auto"/>
                <w:sz w:val="24"/>
                <w:szCs w:val="24"/>
                <w:vertAlign w:val="superscript"/>
                <w:lang w:val="en-US" w:eastAsia="zh-CN"/>
              </w:rPr>
              <w:t>-3</w:t>
            </w:r>
            <w:r>
              <w:rPr>
                <w:rFonts w:hint="eastAsia" w:cs="Times New Roman"/>
                <w:color w:val="auto"/>
                <w:sz w:val="24"/>
                <w:szCs w:val="24"/>
                <w:lang w:val="en-US" w:eastAsia="zh-CN"/>
              </w:rPr>
              <w:t>（mSv）</w:t>
            </w:r>
            <w:r>
              <w:rPr>
                <w:rFonts w:hint="default" w:ascii="Times New Roman" w:hAnsi="Times New Roman" w:cs="Times New Roman"/>
                <w:color w:val="auto"/>
              </w:rPr>
              <w:t>………11-9</w:t>
            </w:r>
          </w:p>
          <w:p>
            <w:pPr>
              <w:pStyle w:val="47"/>
              <w:rPr>
                <w:rFonts w:hint="default" w:ascii="Times New Roman" w:hAnsi="Times New Roman" w:cs="Times New Roman"/>
                <w:color w:val="auto"/>
              </w:rPr>
            </w:pPr>
            <w:r>
              <w:rPr>
                <w:rFonts w:hint="default" w:ascii="Times New Roman" w:hAnsi="Times New Roman" w:cs="Times New Roman"/>
                <w:color w:val="auto"/>
              </w:rPr>
              <w:t>式中：</w:t>
            </w:r>
            <w:r>
              <w:rPr>
                <w:rFonts w:hint="default" w:ascii="Times New Roman" w:hAnsi="Times New Roman" w:cs="Times New Roman"/>
                <w:color w:val="auto"/>
              </w:rPr>
              <w:tab/>
            </w:r>
            <w:r>
              <w:rPr>
                <w:rFonts w:hint="default" w:ascii="Times New Roman" w:hAnsi="Times New Roman" w:cs="Times New Roman"/>
                <w:color w:val="auto"/>
              </w:rPr>
              <w:t>H</w:t>
            </w:r>
            <w:r>
              <w:rPr>
                <w:rFonts w:hint="default" w:ascii="Times New Roman" w:hAnsi="Times New Roman" w:cs="Times New Roman"/>
                <w:color w:val="auto"/>
                <w:vertAlign w:val="subscript"/>
              </w:rPr>
              <w:t>Er</w:t>
            </w:r>
            <w:r>
              <w:rPr>
                <w:rFonts w:hint="default" w:ascii="Times New Roman" w:hAnsi="Times New Roman" w:cs="Times New Roman"/>
                <w:color w:val="auto"/>
              </w:rPr>
              <w:t>——X、γ射线外照射人均年有效当量剂量，mSv/a；</w:t>
            </w:r>
          </w:p>
          <w:p>
            <w:pPr>
              <w:pStyle w:val="47"/>
              <w:rPr>
                <w:rFonts w:hint="default" w:ascii="Times New Roman" w:hAnsi="Times New Roman" w:cs="Times New Roman"/>
                <w:color w:val="auto"/>
              </w:rPr>
            </w:pPr>
            <w:r>
              <w:rPr>
                <w:rFonts w:hint="default" w:ascii="Times New Roman" w:hAnsi="Times New Roman" w:cs="Times New Roman"/>
                <w:color w:val="auto"/>
              </w:rPr>
              <w:tab/>
            </w:r>
            <w:r>
              <w:rPr>
                <w:rFonts w:hint="default" w:ascii="Times New Roman" w:hAnsi="Times New Roman" w:cs="Times New Roman"/>
                <w:color w:val="auto"/>
              </w:rPr>
              <w:tab/>
            </w:r>
            <w:r>
              <w:rPr>
                <w:rFonts w:hint="eastAsia" w:cs="Times New Roman"/>
                <w:color w:val="auto"/>
                <w:lang w:val="en-US" w:eastAsia="zh-CN"/>
              </w:rPr>
              <w:t xml:space="preserve">     </w:t>
            </w:r>
            <w:r>
              <w:rPr>
                <w:rFonts w:hint="default" w:ascii="Times New Roman" w:hAnsi="Times New Roman" w:cs="Times New Roman"/>
                <w:color w:val="auto"/>
              </w:rPr>
              <w:t>Dr——X、γ射线空气吸收剂量率，μSv/h；</w:t>
            </w:r>
          </w:p>
          <w:p>
            <w:pPr>
              <w:pStyle w:val="47"/>
              <w:rPr>
                <w:rFonts w:hint="default" w:ascii="Times New Roman" w:hAnsi="Times New Roman" w:cs="Times New Roman"/>
                <w:color w:val="auto"/>
              </w:rPr>
            </w:pPr>
            <w:r>
              <w:rPr>
                <w:rFonts w:hint="default" w:ascii="Times New Roman" w:hAnsi="Times New Roman" w:cs="Times New Roman"/>
                <w:color w:val="auto"/>
              </w:rPr>
              <w:tab/>
            </w:r>
            <w:r>
              <w:rPr>
                <w:rFonts w:hint="eastAsia" w:cs="Times New Roman"/>
                <w:color w:val="auto"/>
                <w:lang w:val="en-US" w:eastAsia="zh-CN"/>
              </w:rPr>
              <w:t xml:space="preserve">      </w:t>
            </w:r>
            <w:r>
              <w:rPr>
                <w:rFonts w:hint="default" w:ascii="Times New Roman" w:hAnsi="Times New Roman" w:cs="Times New Roman"/>
                <w:color w:val="auto"/>
              </w:rPr>
              <w:t>t——X、γ射线照射时间，h/a。</w:t>
            </w:r>
          </w:p>
          <w:p>
            <w:pPr>
              <w:pStyle w:val="47"/>
              <w:spacing w:before="156" w:beforeLines="50" w:after="156" w:afterLines="50"/>
              <w:ind w:firstLine="482"/>
              <w:rPr>
                <w:rFonts w:hint="default" w:ascii="Times New Roman" w:hAnsi="Times New Roman" w:cs="Times New Roman"/>
                <w:b/>
                <w:bCs/>
                <w:color w:val="auto"/>
              </w:rPr>
            </w:pPr>
            <w:r>
              <w:rPr>
                <w:rFonts w:hint="default" w:ascii="Times New Roman" w:hAnsi="Times New Roman" w:cs="Times New Roman"/>
                <w:b/>
                <w:bCs/>
                <w:color w:val="auto"/>
              </w:rPr>
              <w:t>（2）估算结果</w:t>
            </w:r>
          </w:p>
          <w:p>
            <w:pPr>
              <w:pStyle w:val="47"/>
              <w:rPr>
                <w:rFonts w:hint="default" w:ascii="Times New Roman" w:hAnsi="Times New Roman" w:cs="Times New Roman"/>
                <w:color w:val="auto"/>
              </w:rPr>
            </w:pPr>
            <w:r>
              <w:rPr>
                <w:rFonts w:hint="default" w:ascii="Times New Roman" w:hAnsi="Times New Roman" w:cs="Times New Roman"/>
                <w:color w:val="auto"/>
              </w:rPr>
              <w:t>①辐射工作人员</w:t>
            </w:r>
          </w:p>
          <w:p>
            <w:pPr>
              <w:pStyle w:val="47"/>
              <w:rPr>
                <w:rFonts w:hint="default" w:ascii="Times New Roman" w:hAnsi="Times New Roman" w:cs="Times New Roman"/>
                <w:color w:val="auto"/>
                <w:kern w:val="0"/>
              </w:rPr>
            </w:pPr>
            <w:r>
              <w:rPr>
                <w:rFonts w:hint="default" w:ascii="Times New Roman" w:hAnsi="Times New Roman" w:cs="Times New Roman"/>
                <w:color w:val="auto"/>
                <w:kern w:val="0"/>
              </w:rPr>
              <w:t>按照上述措施进行建设后，放射工作人员在经过屏蔽措施后应位于监督区范围以内，居留因子取1，X射线探伤机有效开机时间最大为1200h，辐射工作人员的剂量估算结果见下表。</w:t>
            </w:r>
          </w:p>
          <w:p>
            <w:pPr>
              <w:pStyle w:val="49"/>
              <w:rPr>
                <w:rFonts w:hint="default" w:ascii="Times New Roman" w:hAnsi="Times New Roman" w:cs="Times New Roman"/>
                <w:color w:val="auto"/>
              </w:rPr>
            </w:pPr>
            <w:r>
              <w:rPr>
                <w:rFonts w:hint="default" w:ascii="Times New Roman" w:hAnsi="Times New Roman" w:cs="Times New Roman"/>
                <w:color w:val="auto"/>
              </w:rPr>
              <w:t>表11-7辐射工作人员剂量估算</w:t>
            </w:r>
          </w:p>
          <w:tbl>
            <w:tblPr>
              <w:tblStyle w:val="2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58"/>
              <w:gridCol w:w="1185"/>
              <w:gridCol w:w="888"/>
              <w:gridCol w:w="1002"/>
              <w:gridCol w:w="20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58" w:type="dxa"/>
                  <w:noWrap w:val="0"/>
                  <w:vAlign w:val="center"/>
                </w:tcPr>
                <w:p>
                  <w:pPr>
                    <w:pStyle w:val="53"/>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辐射工作人员工作场所</w:t>
                  </w:r>
                </w:p>
              </w:tc>
              <w:tc>
                <w:tcPr>
                  <w:tcW w:w="1185" w:type="dxa"/>
                  <w:noWrap w:val="0"/>
                  <w:vAlign w:val="center"/>
                </w:tcPr>
                <w:p>
                  <w:pPr>
                    <w:pStyle w:val="53"/>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瞬时剂量</w:t>
                  </w:r>
                </w:p>
                <w:p>
                  <w:pPr>
                    <w:pStyle w:val="53"/>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rPr>
                    <w:t>（μSv/h）</w:t>
                  </w:r>
                </w:p>
              </w:tc>
              <w:tc>
                <w:tcPr>
                  <w:tcW w:w="888" w:type="dxa"/>
                  <w:noWrap w:val="0"/>
                  <w:vAlign w:val="center"/>
                </w:tcPr>
                <w:p>
                  <w:pPr>
                    <w:pStyle w:val="53"/>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居留因子</w:t>
                  </w:r>
                </w:p>
              </w:tc>
              <w:tc>
                <w:tcPr>
                  <w:tcW w:w="1002" w:type="dxa"/>
                  <w:noWrap w:val="0"/>
                  <w:vAlign w:val="center"/>
                </w:tcPr>
                <w:p>
                  <w:pPr>
                    <w:pStyle w:val="53"/>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rPr>
                    <w:t>年有效开机时间（h）</w:t>
                  </w:r>
                </w:p>
              </w:tc>
              <w:tc>
                <w:tcPr>
                  <w:tcW w:w="2078" w:type="dxa"/>
                  <w:noWrap w:val="0"/>
                  <w:vAlign w:val="center"/>
                </w:tcPr>
                <w:p>
                  <w:pPr>
                    <w:pStyle w:val="53"/>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rPr>
                    <w:t>辐射工作人员受照剂量（mSv/a）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158" w:type="dxa"/>
                  <w:noWrap w:val="0"/>
                  <w:vAlign w:val="center"/>
                </w:tcPr>
                <w:p>
                  <w:pPr>
                    <w:pStyle w:val="53"/>
                    <w:ind w:firstLine="0" w:firstLineChars="0"/>
                    <w:jc w:val="center"/>
                    <w:rPr>
                      <w:rFonts w:hint="default" w:ascii="Times New Roman" w:hAnsi="Times New Roman" w:eastAsia="宋体" w:cs="Times New Roman"/>
                      <w:b w:val="0"/>
                      <w:color w:val="auto"/>
                      <w:kern w:val="2"/>
                      <w:sz w:val="18"/>
                      <w:szCs w:val="18"/>
                      <w:lang w:val="en-US" w:eastAsia="zh-CN" w:bidi="ar-SA"/>
                    </w:rPr>
                  </w:pPr>
                  <w:r>
                    <w:rPr>
                      <w:rFonts w:hint="default" w:ascii="Times New Roman" w:hAnsi="Times New Roman" w:cs="Times New Roman"/>
                      <w:color w:val="auto"/>
                      <w:sz w:val="18"/>
                      <w:szCs w:val="18"/>
                    </w:rPr>
                    <w:t>控制室操作位</w:t>
                  </w:r>
                </w:p>
              </w:tc>
              <w:tc>
                <w:tcPr>
                  <w:tcW w:w="1185"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18"/>
                      <w:szCs w:val="18"/>
                      <w:u w:val="singl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1.20E-01</w:t>
                  </w:r>
                </w:p>
              </w:tc>
              <w:tc>
                <w:tcPr>
                  <w:tcW w:w="888" w:type="dxa"/>
                  <w:noWrap w:val="0"/>
                  <w:vAlign w:val="center"/>
                </w:tcPr>
                <w:p>
                  <w:pPr>
                    <w:widowControl/>
                    <w:jc w:val="center"/>
                    <w:textAlignment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w:t>
                  </w:r>
                </w:p>
              </w:tc>
              <w:tc>
                <w:tcPr>
                  <w:tcW w:w="1002" w:type="dxa"/>
                  <w:vMerge w:val="restart"/>
                  <w:noWrap w:val="0"/>
                  <w:vAlign w:val="center"/>
                </w:tcPr>
                <w:p>
                  <w:pPr>
                    <w:pStyle w:val="53"/>
                    <w:rPr>
                      <w:rFonts w:hint="default" w:ascii="Times New Roman" w:hAnsi="Times New Roman" w:eastAsia="宋体" w:cs="Times New Roman"/>
                      <w:color w:val="auto"/>
                      <w:sz w:val="21"/>
                      <w:szCs w:val="21"/>
                      <w:lang w:val="en-US" w:eastAsia="zh-CN"/>
                    </w:rPr>
                  </w:pPr>
                  <w:r>
                    <w:rPr>
                      <w:rFonts w:hint="eastAsia"/>
                      <w:color w:val="auto"/>
                      <w:lang w:val="en-US" w:eastAsia="zh-CN"/>
                    </w:rPr>
                    <w:t>83.33</w:t>
                  </w:r>
                </w:p>
              </w:tc>
              <w:tc>
                <w:tcPr>
                  <w:tcW w:w="2078" w:type="dxa"/>
                  <w:noWrap w:val="0"/>
                  <w:vAlign w:val="center"/>
                </w:tcPr>
                <w:p>
                  <w:pPr>
                    <w:pStyle w:val="53"/>
                    <w:bidi w:val="0"/>
                    <w:rPr>
                      <w:rFonts w:hint="default"/>
                      <w:sz w:val="18"/>
                      <w:szCs w:val="18"/>
                    </w:rPr>
                  </w:pPr>
                  <w:r>
                    <w:rPr>
                      <w:rFonts w:hint="eastAsia"/>
                      <w:sz w:val="18"/>
                      <w:szCs w:val="18"/>
                      <w:lang w:val="en-US" w:eastAsia="zh-CN"/>
                    </w:rPr>
                    <w:t>1.00E-02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158" w:type="dxa"/>
                  <w:noWrap w:val="0"/>
                  <w:vAlign w:val="center"/>
                </w:tcPr>
                <w:p>
                  <w:pPr>
                    <w:pStyle w:val="53"/>
                    <w:ind w:firstLine="0" w:firstLineChars="0"/>
                    <w:jc w:val="center"/>
                    <w:rPr>
                      <w:rFonts w:hint="default" w:ascii="Times New Roman" w:hAnsi="Times New Roman" w:eastAsia="宋体" w:cs="Times New Roman"/>
                      <w:b w:val="0"/>
                      <w:color w:val="auto"/>
                      <w:kern w:val="2"/>
                      <w:sz w:val="18"/>
                      <w:szCs w:val="18"/>
                      <w:lang w:val="en-US" w:eastAsia="zh-CN" w:bidi="ar-SA"/>
                    </w:rPr>
                  </w:pPr>
                  <w:r>
                    <w:rPr>
                      <w:rFonts w:hint="default" w:ascii="Times New Roman" w:hAnsi="Times New Roman" w:cs="Times New Roman"/>
                      <w:color w:val="auto"/>
                      <w:sz w:val="18"/>
                      <w:szCs w:val="18"/>
                      <w:lang w:val="en-US" w:eastAsia="zh-CN"/>
                    </w:rPr>
                    <w:t>维修</w:t>
                  </w:r>
                  <w:r>
                    <w:rPr>
                      <w:rFonts w:hint="default" w:ascii="Times New Roman" w:hAnsi="Times New Roman" w:cs="Times New Roman"/>
                      <w:color w:val="auto"/>
                      <w:sz w:val="18"/>
                      <w:szCs w:val="18"/>
                    </w:rPr>
                    <w:t>门外30cm</w:t>
                  </w:r>
                  <w:r>
                    <w:rPr>
                      <w:rFonts w:hint="default" w:ascii="Times New Roman" w:hAnsi="Times New Roman" w:cs="Times New Roman"/>
                      <w:color w:val="auto"/>
                      <w:sz w:val="18"/>
                      <w:szCs w:val="18"/>
                      <w:lang w:eastAsia="zh-CN"/>
                    </w:rPr>
                    <w:t>（</w:t>
                  </w:r>
                  <w:r>
                    <w:rPr>
                      <w:rFonts w:hint="default" w:ascii="Times New Roman" w:hAnsi="Times New Roman" w:cs="Times New Roman"/>
                      <w:color w:val="auto"/>
                      <w:sz w:val="18"/>
                      <w:szCs w:val="18"/>
                      <w:lang w:val="en-US" w:eastAsia="zh-CN"/>
                    </w:rPr>
                    <w:t>控制室内</w:t>
                  </w:r>
                  <w:r>
                    <w:rPr>
                      <w:rFonts w:hint="default" w:ascii="Times New Roman" w:hAnsi="Times New Roman" w:cs="Times New Roman"/>
                      <w:color w:val="auto"/>
                      <w:sz w:val="18"/>
                      <w:szCs w:val="18"/>
                      <w:lang w:eastAsia="zh-CN"/>
                    </w:rPr>
                    <w:t>）</w:t>
                  </w:r>
                </w:p>
              </w:tc>
              <w:tc>
                <w:tcPr>
                  <w:tcW w:w="1185"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18"/>
                      <w:szCs w:val="18"/>
                      <w:u w:val="singl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4.84E-02</w:t>
                  </w:r>
                </w:p>
              </w:tc>
              <w:tc>
                <w:tcPr>
                  <w:tcW w:w="888" w:type="dxa"/>
                  <w:noWrap w:val="0"/>
                  <w:vAlign w:val="center"/>
                </w:tcPr>
                <w:p>
                  <w:pPr>
                    <w:widowControl/>
                    <w:jc w:val="center"/>
                    <w:textAlignment w:val="center"/>
                    <w:rPr>
                      <w:rFonts w:hint="default" w:ascii="Times New Roman" w:hAnsi="Times New Roman" w:eastAsia="宋体" w:cs="Times New Roman"/>
                      <w:i w:val="0"/>
                      <w:iCs w:val="0"/>
                      <w:color w:val="auto"/>
                      <w:kern w:val="0"/>
                      <w:sz w:val="21"/>
                      <w:szCs w:val="21"/>
                      <w:u w:val="single"/>
                      <w:lang w:val="en-US" w:eastAsia="zh-CN" w:bidi="ar"/>
                    </w:rPr>
                  </w:pPr>
                  <w:r>
                    <w:rPr>
                      <w:rFonts w:hint="eastAsia" w:ascii="Times New Roman" w:hAnsi="Times New Roman" w:cs="Times New Roman"/>
                      <w:i w:val="0"/>
                      <w:iCs w:val="0"/>
                      <w:color w:val="auto"/>
                      <w:kern w:val="0"/>
                      <w:sz w:val="21"/>
                      <w:szCs w:val="21"/>
                      <w:u w:val="single"/>
                      <w:lang w:val="en-US" w:eastAsia="zh-CN" w:bidi="ar"/>
                    </w:rPr>
                    <w:t>1</w:t>
                  </w:r>
                </w:p>
              </w:tc>
              <w:tc>
                <w:tcPr>
                  <w:tcW w:w="1002" w:type="dxa"/>
                  <w:vMerge w:val="continue"/>
                  <w:noWrap w:val="0"/>
                  <w:vAlign w:val="center"/>
                </w:tcPr>
                <w:p>
                  <w:pPr>
                    <w:pStyle w:val="53"/>
                    <w:rPr>
                      <w:rFonts w:hint="default" w:ascii="Times New Roman" w:hAnsi="Times New Roman" w:cs="Times New Roman"/>
                      <w:color w:val="auto"/>
                      <w:sz w:val="21"/>
                      <w:szCs w:val="21"/>
                    </w:rPr>
                  </w:pPr>
                </w:p>
              </w:tc>
              <w:tc>
                <w:tcPr>
                  <w:tcW w:w="2078" w:type="dxa"/>
                  <w:noWrap w:val="0"/>
                  <w:vAlign w:val="center"/>
                </w:tcPr>
                <w:p>
                  <w:pPr>
                    <w:pStyle w:val="53"/>
                    <w:bidi w:val="0"/>
                    <w:rPr>
                      <w:rFonts w:hint="default"/>
                      <w:sz w:val="18"/>
                      <w:szCs w:val="18"/>
                      <w:lang w:val="en-US" w:eastAsia="zh-CN"/>
                    </w:rPr>
                  </w:pPr>
                  <w:r>
                    <w:rPr>
                      <w:rFonts w:hint="eastAsia"/>
                      <w:sz w:val="18"/>
                      <w:szCs w:val="18"/>
                      <w:lang w:val="en-US" w:eastAsia="zh-CN"/>
                    </w:rPr>
                    <w:t>4.03E-03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158" w:type="dxa"/>
                  <w:noWrap w:val="0"/>
                  <w:vAlign w:val="center"/>
                </w:tcPr>
                <w:p>
                  <w:pPr>
                    <w:pStyle w:val="53"/>
                    <w:ind w:firstLine="0" w:firstLineChars="0"/>
                    <w:jc w:val="center"/>
                    <w:rPr>
                      <w:rFonts w:hint="default" w:ascii="Times New Roman" w:hAnsi="Times New Roman" w:eastAsia="宋体" w:cs="Times New Roman"/>
                      <w:b w:val="0"/>
                      <w:color w:val="auto"/>
                      <w:kern w:val="2"/>
                      <w:sz w:val="18"/>
                      <w:szCs w:val="18"/>
                      <w:lang w:val="en-US" w:eastAsia="zh-CN" w:bidi="ar-SA"/>
                    </w:rPr>
                  </w:pPr>
                  <w:r>
                    <w:rPr>
                      <w:rFonts w:hint="default" w:ascii="Times New Roman" w:hAnsi="Times New Roman" w:cs="Times New Roman"/>
                      <w:color w:val="auto"/>
                      <w:sz w:val="18"/>
                      <w:szCs w:val="18"/>
                    </w:rPr>
                    <w:t>探伤室南侧墙体外30cm</w:t>
                  </w:r>
                  <w:r>
                    <w:rPr>
                      <w:rFonts w:hint="default" w:ascii="Times New Roman" w:hAnsi="Times New Roman" w:cs="Times New Roman"/>
                      <w:color w:val="auto"/>
                      <w:sz w:val="18"/>
                      <w:szCs w:val="18"/>
                      <w:lang w:eastAsia="zh-CN"/>
                    </w:rPr>
                    <w:t>（</w:t>
                  </w:r>
                  <w:r>
                    <w:rPr>
                      <w:rFonts w:hint="default" w:ascii="Times New Roman" w:hAnsi="Times New Roman" w:cs="Times New Roman"/>
                      <w:color w:val="auto"/>
                      <w:sz w:val="18"/>
                      <w:szCs w:val="18"/>
                      <w:lang w:val="en-US" w:eastAsia="zh-CN"/>
                    </w:rPr>
                    <w:t>控制室内</w:t>
                  </w:r>
                  <w:r>
                    <w:rPr>
                      <w:rFonts w:hint="default" w:ascii="Times New Roman" w:hAnsi="Times New Roman" w:cs="Times New Roman"/>
                      <w:color w:val="auto"/>
                      <w:sz w:val="18"/>
                      <w:szCs w:val="18"/>
                      <w:lang w:eastAsia="zh-CN"/>
                    </w:rPr>
                    <w:t>）</w:t>
                  </w:r>
                </w:p>
              </w:tc>
              <w:tc>
                <w:tcPr>
                  <w:tcW w:w="1185"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18"/>
                      <w:szCs w:val="18"/>
                      <w:u w:val="singl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2.04E-01</w:t>
                  </w:r>
                </w:p>
              </w:tc>
              <w:tc>
                <w:tcPr>
                  <w:tcW w:w="888" w:type="dxa"/>
                  <w:noWrap w:val="0"/>
                  <w:vAlign w:val="center"/>
                </w:tcPr>
                <w:p>
                  <w:pPr>
                    <w:widowControl/>
                    <w:jc w:val="center"/>
                    <w:textAlignment w:val="center"/>
                    <w:rPr>
                      <w:rFonts w:hint="default" w:ascii="Times New Roman" w:hAnsi="Times New Roman" w:cs="Times New Roman"/>
                      <w:color w:val="auto"/>
                      <w:sz w:val="21"/>
                      <w:szCs w:val="21"/>
                      <w:lang w:val="en-US" w:eastAsia="zh-CN"/>
                    </w:rPr>
                  </w:pPr>
                  <w:r>
                    <w:rPr>
                      <w:rFonts w:hint="eastAsia" w:ascii="Times New Roman" w:hAnsi="Times New Roman" w:cs="Times New Roman"/>
                      <w:i w:val="0"/>
                      <w:iCs w:val="0"/>
                      <w:color w:val="auto"/>
                      <w:kern w:val="0"/>
                      <w:sz w:val="21"/>
                      <w:szCs w:val="21"/>
                      <w:u w:val="single"/>
                      <w:lang w:val="en-US" w:eastAsia="zh-CN" w:bidi="ar"/>
                    </w:rPr>
                    <w:t>1</w:t>
                  </w:r>
                </w:p>
              </w:tc>
              <w:tc>
                <w:tcPr>
                  <w:tcW w:w="1002" w:type="dxa"/>
                  <w:vMerge w:val="continue"/>
                  <w:noWrap w:val="0"/>
                  <w:vAlign w:val="center"/>
                </w:tcPr>
                <w:p>
                  <w:pPr>
                    <w:pStyle w:val="53"/>
                    <w:rPr>
                      <w:rFonts w:hint="default" w:ascii="Times New Roman" w:hAnsi="Times New Roman" w:cs="Times New Roman"/>
                      <w:color w:val="auto"/>
                      <w:sz w:val="21"/>
                      <w:szCs w:val="21"/>
                    </w:rPr>
                  </w:pPr>
                </w:p>
              </w:tc>
              <w:tc>
                <w:tcPr>
                  <w:tcW w:w="2078" w:type="dxa"/>
                  <w:noWrap w:val="0"/>
                  <w:vAlign w:val="center"/>
                </w:tcPr>
                <w:p>
                  <w:pPr>
                    <w:pStyle w:val="53"/>
                    <w:bidi w:val="0"/>
                    <w:rPr>
                      <w:rFonts w:hint="default"/>
                      <w:sz w:val="18"/>
                      <w:szCs w:val="18"/>
                      <w:lang w:val="en-US" w:eastAsia="zh-CN"/>
                    </w:rPr>
                  </w:pPr>
                  <w:r>
                    <w:rPr>
                      <w:rFonts w:hint="eastAsia"/>
                      <w:sz w:val="18"/>
                      <w:szCs w:val="18"/>
                      <w:lang w:val="en-US" w:eastAsia="zh-CN"/>
                    </w:rPr>
                    <w:t>1.70E-02</w:t>
                  </w:r>
                </w:p>
              </w:tc>
            </w:tr>
          </w:tbl>
          <w:p>
            <w:pPr>
              <w:pStyle w:val="47"/>
              <w:rPr>
                <w:rFonts w:hint="default" w:ascii="Times New Roman" w:hAnsi="Times New Roman" w:cs="Times New Roman"/>
                <w:color w:val="auto"/>
              </w:rPr>
            </w:pPr>
            <w:r>
              <w:rPr>
                <w:rFonts w:hint="default" w:ascii="Times New Roman" w:hAnsi="Times New Roman" w:cs="Times New Roman"/>
                <w:color w:val="auto"/>
              </w:rPr>
              <w:t>从表11-7计算结果可知，辐射工作人员的年剂量值低于</w:t>
            </w:r>
            <w:r>
              <w:rPr>
                <w:rFonts w:hint="eastAsia" w:cs="Times New Roman"/>
                <w:color w:val="auto"/>
                <w:lang w:val="en-US" w:eastAsia="zh-CN"/>
              </w:rPr>
              <w:t>企业的</w:t>
            </w:r>
            <w:r>
              <w:rPr>
                <w:rFonts w:hint="default" w:ascii="Times New Roman" w:hAnsi="Times New Roman" w:cs="Times New Roman"/>
                <w:color w:val="auto"/>
              </w:rPr>
              <w:t>管理目标值2mSv/a，满足《工业X射线探伤放射防护要求》（GBZ117－2015）的要求，同时满足《电离辐射防护与辐射源安全基本标准》（GB18871-2002）的要求。</w:t>
            </w:r>
          </w:p>
          <w:p>
            <w:pPr>
              <w:pStyle w:val="47"/>
              <w:ind w:firstLine="482"/>
              <w:rPr>
                <w:rFonts w:hint="default" w:ascii="Times New Roman" w:hAnsi="Times New Roman" w:cs="Times New Roman"/>
                <w:b/>
                <w:bCs/>
                <w:color w:val="auto"/>
              </w:rPr>
            </w:pPr>
            <w:r>
              <w:rPr>
                <w:rFonts w:hint="default" w:ascii="Times New Roman" w:hAnsi="Times New Roman" w:cs="Times New Roman"/>
                <w:b/>
                <w:bCs/>
                <w:color w:val="auto"/>
              </w:rPr>
              <w:t>②公众成员</w:t>
            </w:r>
          </w:p>
          <w:p>
            <w:pPr>
              <w:pStyle w:val="47"/>
              <w:rPr>
                <w:rFonts w:hint="default" w:ascii="Times New Roman" w:hAnsi="Times New Roman" w:cs="Times New Roman"/>
                <w:color w:val="auto"/>
                <w:kern w:val="0"/>
              </w:rPr>
            </w:pPr>
            <w:r>
              <w:rPr>
                <w:rFonts w:hint="default" w:ascii="Times New Roman" w:hAnsi="Times New Roman" w:cs="Times New Roman"/>
                <w:color w:val="auto"/>
                <w:kern w:val="0"/>
              </w:rPr>
              <w:t>根据实际情况和在进行室内探伤时，公众成员都在其它区域开展工作，偶尔有人经过探伤室周边，其估算结果见下表：</w:t>
            </w:r>
          </w:p>
          <w:p>
            <w:pPr>
              <w:pStyle w:val="49"/>
              <w:rPr>
                <w:rFonts w:hint="default" w:ascii="Times New Roman" w:hAnsi="Times New Roman" w:cs="Times New Roman"/>
                <w:color w:val="auto"/>
              </w:rPr>
            </w:pPr>
            <w:r>
              <w:rPr>
                <w:rFonts w:hint="default" w:ascii="Times New Roman" w:hAnsi="Times New Roman" w:cs="Times New Roman"/>
                <w:color w:val="auto"/>
              </w:rPr>
              <w:t>表11-8公众剂量估算结果</w:t>
            </w: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55"/>
              <w:gridCol w:w="742"/>
              <w:gridCol w:w="1701"/>
              <w:gridCol w:w="1701"/>
              <w:gridCol w:w="14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5" w:type="dxa"/>
                  <w:noWrap w:val="0"/>
                  <w:vAlign w:val="center"/>
                </w:tcPr>
                <w:p>
                  <w:pPr>
                    <w:pStyle w:val="53"/>
                    <w:rPr>
                      <w:rFonts w:hint="default" w:ascii="Times New Roman" w:hAnsi="Times New Roman" w:cs="Times New Roman"/>
                      <w:color w:val="auto"/>
                      <w:sz w:val="21"/>
                      <w:szCs w:val="21"/>
                      <w:u w:val="single"/>
                    </w:rPr>
                  </w:pPr>
                  <w:r>
                    <w:rPr>
                      <w:rFonts w:hint="default" w:ascii="Times New Roman" w:hAnsi="Times New Roman" w:cs="Times New Roman"/>
                      <w:color w:val="auto"/>
                      <w:sz w:val="21"/>
                      <w:szCs w:val="21"/>
                      <w:u w:val="single"/>
                    </w:rPr>
                    <w:t>公众场所名称</w:t>
                  </w:r>
                </w:p>
              </w:tc>
              <w:tc>
                <w:tcPr>
                  <w:tcW w:w="742" w:type="dxa"/>
                  <w:noWrap w:val="0"/>
                  <w:vAlign w:val="center"/>
                </w:tcPr>
                <w:p>
                  <w:pPr>
                    <w:pStyle w:val="53"/>
                    <w:rPr>
                      <w:rFonts w:hint="default" w:ascii="Times New Roman" w:hAnsi="Times New Roman" w:cs="Times New Roman"/>
                      <w:color w:val="auto"/>
                      <w:sz w:val="21"/>
                      <w:szCs w:val="21"/>
                      <w:u w:val="single"/>
                    </w:rPr>
                  </w:pPr>
                  <w:r>
                    <w:rPr>
                      <w:rFonts w:hint="default" w:ascii="Times New Roman" w:hAnsi="Times New Roman" w:cs="Times New Roman"/>
                      <w:color w:val="auto"/>
                      <w:sz w:val="21"/>
                      <w:szCs w:val="21"/>
                      <w:u w:val="single"/>
                    </w:rPr>
                    <w:t>居留因子</w:t>
                  </w:r>
                </w:p>
              </w:tc>
              <w:tc>
                <w:tcPr>
                  <w:tcW w:w="1701" w:type="dxa"/>
                  <w:noWrap w:val="0"/>
                  <w:vAlign w:val="center"/>
                </w:tcPr>
                <w:p>
                  <w:pPr>
                    <w:pStyle w:val="53"/>
                    <w:rPr>
                      <w:rFonts w:hint="default" w:ascii="Times New Roman" w:hAnsi="Times New Roman" w:cs="Times New Roman"/>
                      <w:color w:val="auto"/>
                      <w:kern w:val="0"/>
                      <w:sz w:val="21"/>
                      <w:szCs w:val="21"/>
                      <w:u w:val="single"/>
                    </w:rPr>
                  </w:pPr>
                  <w:r>
                    <w:rPr>
                      <w:rFonts w:hint="default" w:ascii="Times New Roman" w:hAnsi="Times New Roman" w:cs="Times New Roman"/>
                      <w:color w:val="auto"/>
                      <w:kern w:val="0"/>
                      <w:sz w:val="21"/>
                      <w:szCs w:val="21"/>
                      <w:u w:val="single"/>
                    </w:rPr>
                    <w:t>瞬时剂量</w:t>
                  </w:r>
                </w:p>
                <w:p>
                  <w:pPr>
                    <w:pStyle w:val="53"/>
                    <w:rPr>
                      <w:rFonts w:hint="default" w:ascii="Times New Roman" w:hAnsi="Times New Roman" w:cs="Times New Roman"/>
                      <w:color w:val="auto"/>
                      <w:sz w:val="21"/>
                      <w:szCs w:val="21"/>
                      <w:u w:val="single"/>
                    </w:rPr>
                  </w:pPr>
                  <w:r>
                    <w:rPr>
                      <w:rFonts w:hint="default" w:ascii="Times New Roman" w:hAnsi="Times New Roman" w:cs="Times New Roman"/>
                      <w:color w:val="auto"/>
                      <w:kern w:val="0"/>
                      <w:sz w:val="21"/>
                      <w:szCs w:val="21"/>
                      <w:u w:val="single"/>
                    </w:rPr>
                    <w:t>（μSv/h）</w:t>
                  </w:r>
                </w:p>
              </w:tc>
              <w:tc>
                <w:tcPr>
                  <w:tcW w:w="1701" w:type="dxa"/>
                  <w:noWrap w:val="0"/>
                  <w:vAlign w:val="center"/>
                </w:tcPr>
                <w:p>
                  <w:pPr>
                    <w:pStyle w:val="53"/>
                    <w:rPr>
                      <w:rFonts w:hint="default" w:ascii="Times New Roman" w:hAnsi="Times New Roman" w:cs="Times New Roman"/>
                      <w:color w:val="auto"/>
                      <w:kern w:val="0"/>
                      <w:sz w:val="21"/>
                      <w:szCs w:val="21"/>
                      <w:u w:val="single"/>
                    </w:rPr>
                  </w:pPr>
                  <w:r>
                    <w:rPr>
                      <w:rFonts w:hint="default" w:ascii="Times New Roman" w:hAnsi="Times New Roman" w:cs="Times New Roman"/>
                      <w:color w:val="auto"/>
                      <w:kern w:val="0"/>
                      <w:sz w:val="21"/>
                      <w:szCs w:val="21"/>
                      <w:u w:val="single"/>
                    </w:rPr>
                    <w:t>年有效开机时</w:t>
                  </w:r>
                </w:p>
                <w:p>
                  <w:pPr>
                    <w:pStyle w:val="53"/>
                    <w:rPr>
                      <w:rFonts w:hint="default" w:ascii="Times New Roman" w:hAnsi="Times New Roman" w:cs="Times New Roman"/>
                      <w:color w:val="auto"/>
                      <w:sz w:val="21"/>
                      <w:szCs w:val="21"/>
                      <w:u w:val="single"/>
                    </w:rPr>
                  </w:pPr>
                  <w:r>
                    <w:rPr>
                      <w:rFonts w:hint="default" w:ascii="Times New Roman" w:hAnsi="Times New Roman" w:cs="Times New Roman"/>
                      <w:color w:val="auto"/>
                      <w:kern w:val="0"/>
                      <w:sz w:val="21"/>
                      <w:szCs w:val="21"/>
                      <w:u w:val="single"/>
                    </w:rPr>
                    <w:t>间（h）</w:t>
                  </w:r>
                </w:p>
              </w:tc>
              <w:tc>
                <w:tcPr>
                  <w:tcW w:w="1496" w:type="dxa"/>
                  <w:noWrap w:val="0"/>
                  <w:vAlign w:val="center"/>
                </w:tcPr>
                <w:p>
                  <w:pPr>
                    <w:pStyle w:val="53"/>
                    <w:rPr>
                      <w:rFonts w:hint="default" w:ascii="Times New Roman" w:hAnsi="Times New Roman" w:cs="Times New Roman"/>
                      <w:color w:val="auto"/>
                      <w:sz w:val="21"/>
                      <w:szCs w:val="21"/>
                      <w:u w:val="single"/>
                    </w:rPr>
                  </w:pPr>
                  <w:r>
                    <w:rPr>
                      <w:rFonts w:hint="default" w:ascii="Times New Roman" w:hAnsi="Times New Roman" w:cs="Times New Roman"/>
                      <w:color w:val="auto"/>
                      <w:kern w:val="0"/>
                      <w:sz w:val="21"/>
                      <w:szCs w:val="21"/>
                      <w:u w:val="single"/>
                    </w:rPr>
                    <w:t>公众受照剂（</w:t>
                  </w:r>
                  <w:r>
                    <w:rPr>
                      <w:rStyle w:val="60"/>
                      <w:rFonts w:hint="default" w:ascii="Times New Roman" w:hAnsi="Times New Roman" w:cs="Times New Roman"/>
                      <w:color w:val="auto"/>
                      <w:sz w:val="21"/>
                      <w:szCs w:val="21"/>
                    </w:rPr>
                    <w:t>mSv/a</w:t>
                  </w:r>
                  <w:r>
                    <w:rPr>
                      <w:rFonts w:hint="default" w:ascii="Times New Roman" w:hAnsi="Times New Roman" w:cs="Times New Roman"/>
                      <w:color w:val="auto"/>
                      <w:kern w:val="0"/>
                      <w:sz w:val="21"/>
                      <w:szCs w:val="21"/>
                      <w:u w:val="singl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5" w:type="dxa"/>
                  <w:noWrap w:val="0"/>
                  <w:vAlign w:val="center"/>
                </w:tcPr>
                <w:p>
                  <w:pPr>
                    <w:pStyle w:val="53"/>
                    <w:ind w:firstLine="0" w:firstLineChars="0"/>
                    <w:jc w:val="center"/>
                    <w:rPr>
                      <w:rFonts w:hint="default" w:ascii="Times New Roman" w:hAnsi="Times New Roman" w:eastAsia="宋体" w:cs="Times New Roman"/>
                      <w:b w:val="0"/>
                      <w:color w:val="auto"/>
                      <w:kern w:val="2"/>
                      <w:sz w:val="18"/>
                      <w:szCs w:val="18"/>
                      <w:lang w:val="en-US" w:eastAsia="zh-CN" w:bidi="ar-SA"/>
                    </w:rPr>
                  </w:pPr>
                  <w:r>
                    <w:rPr>
                      <w:rFonts w:hint="default" w:ascii="Times New Roman" w:hAnsi="Times New Roman" w:cs="Times New Roman"/>
                      <w:color w:val="auto"/>
                      <w:sz w:val="18"/>
                      <w:szCs w:val="18"/>
                    </w:rPr>
                    <w:t>探伤室东侧墙体外30cm</w:t>
                  </w:r>
                  <w:r>
                    <w:rPr>
                      <w:rFonts w:hint="default" w:ascii="Times New Roman" w:hAnsi="Times New Roman" w:cs="Times New Roman"/>
                      <w:color w:val="auto"/>
                      <w:sz w:val="18"/>
                      <w:szCs w:val="18"/>
                      <w:lang w:eastAsia="zh-CN"/>
                    </w:rPr>
                    <w:t>（</w:t>
                  </w:r>
                  <w:r>
                    <w:rPr>
                      <w:rFonts w:hint="default" w:ascii="Times New Roman" w:hAnsi="Times New Roman" w:cs="Times New Roman"/>
                      <w:color w:val="auto"/>
                      <w:sz w:val="18"/>
                      <w:szCs w:val="18"/>
                      <w:lang w:val="en-US" w:eastAsia="zh-CN"/>
                    </w:rPr>
                    <w:t>设备生产车间内</w:t>
                  </w:r>
                  <w:r>
                    <w:rPr>
                      <w:rFonts w:hint="default" w:ascii="Times New Roman" w:hAnsi="Times New Roman" w:cs="Times New Roman"/>
                      <w:color w:val="auto"/>
                      <w:sz w:val="18"/>
                      <w:szCs w:val="18"/>
                      <w:lang w:eastAsia="zh-CN"/>
                    </w:rPr>
                    <w:t>）</w:t>
                  </w:r>
                </w:p>
              </w:tc>
              <w:tc>
                <w:tcPr>
                  <w:tcW w:w="742" w:type="dxa"/>
                  <w:noWrap w:val="0"/>
                  <w:vAlign w:val="center"/>
                </w:tcPr>
                <w:p>
                  <w:pPr>
                    <w:pStyle w:val="53"/>
                    <w:ind w:firstLine="0" w:firstLineChars="0"/>
                    <w:rPr>
                      <w:rFonts w:hint="default" w:ascii="Times New Roman" w:hAnsi="Times New Roman" w:eastAsia="宋体" w:cs="Times New Roman"/>
                      <w:b w:val="0"/>
                      <w:color w:val="auto"/>
                      <w:kern w:val="2"/>
                      <w:sz w:val="18"/>
                      <w:szCs w:val="18"/>
                      <w:lang w:val="en-US" w:eastAsia="zh-CN" w:bidi="ar-SA"/>
                    </w:rPr>
                  </w:pPr>
                  <w:r>
                    <w:rPr>
                      <w:rFonts w:hint="eastAsia" w:cs="Times New Roman"/>
                      <w:color w:val="auto"/>
                      <w:sz w:val="18"/>
                      <w:szCs w:val="18"/>
                      <w:lang w:val="en-US" w:eastAsia="zh-CN"/>
                    </w:rPr>
                    <w:t>1</w:t>
                  </w:r>
                </w:p>
              </w:tc>
              <w:tc>
                <w:tcPr>
                  <w:tcW w:w="1701"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18"/>
                      <w:szCs w:val="18"/>
                      <w:u w:val="singl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7.48E-02</w:t>
                  </w:r>
                </w:p>
              </w:tc>
              <w:tc>
                <w:tcPr>
                  <w:tcW w:w="1701" w:type="dxa"/>
                  <w:vMerge w:val="restart"/>
                  <w:noWrap w:val="0"/>
                  <w:vAlign w:val="center"/>
                </w:tcPr>
                <w:p>
                  <w:pPr>
                    <w:pStyle w:val="53"/>
                    <w:rPr>
                      <w:rFonts w:hint="default" w:ascii="Times New Roman" w:hAnsi="Times New Roman" w:eastAsia="宋体" w:cs="Times New Roman"/>
                      <w:color w:val="auto"/>
                      <w:sz w:val="21"/>
                      <w:szCs w:val="21"/>
                      <w:u w:val="single"/>
                      <w:lang w:val="en-US" w:eastAsia="zh-CN"/>
                    </w:rPr>
                  </w:pPr>
                  <w:r>
                    <w:rPr>
                      <w:rFonts w:hint="eastAsia" w:cs="Times New Roman"/>
                      <w:color w:val="auto"/>
                      <w:sz w:val="21"/>
                      <w:szCs w:val="21"/>
                      <w:u w:val="single"/>
                      <w:lang w:val="en-US" w:eastAsia="zh-CN"/>
                    </w:rPr>
                    <w:t>83.3</w:t>
                  </w:r>
                </w:p>
              </w:tc>
              <w:tc>
                <w:tcPr>
                  <w:tcW w:w="1496" w:type="dxa"/>
                  <w:noWrap w:val="0"/>
                  <w:vAlign w:val="center"/>
                </w:tcPr>
                <w:p>
                  <w:pPr>
                    <w:pStyle w:val="53"/>
                    <w:bidi w:val="0"/>
                    <w:rPr>
                      <w:rFonts w:hint="default"/>
                      <w:sz w:val="18"/>
                      <w:szCs w:val="18"/>
                    </w:rPr>
                  </w:pPr>
                  <w:r>
                    <w:rPr>
                      <w:rFonts w:hint="eastAsia"/>
                      <w:sz w:val="18"/>
                      <w:szCs w:val="18"/>
                      <w:lang w:val="en-US" w:eastAsia="zh-CN"/>
                    </w:rPr>
                    <w:t>6.23E-03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5" w:type="dxa"/>
                  <w:noWrap w:val="0"/>
                  <w:vAlign w:val="center"/>
                </w:tcPr>
                <w:p>
                  <w:pPr>
                    <w:pStyle w:val="53"/>
                    <w:ind w:firstLine="0" w:firstLineChars="0"/>
                    <w:jc w:val="center"/>
                    <w:rPr>
                      <w:rFonts w:hint="default" w:ascii="Times New Roman" w:hAnsi="Times New Roman" w:eastAsia="宋体" w:cs="Times New Roman"/>
                      <w:b w:val="0"/>
                      <w:color w:val="auto"/>
                      <w:kern w:val="2"/>
                      <w:sz w:val="18"/>
                      <w:szCs w:val="18"/>
                      <w:lang w:val="en-US" w:eastAsia="zh-CN" w:bidi="ar-SA"/>
                    </w:rPr>
                  </w:pPr>
                  <w:r>
                    <w:rPr>
                      <w:rFonts w:hint="default" w:ascii="Times New Roman" w:hAnsi="Times New Roman" w:cs="Times New Roman"/>
                      <w:color w:val="auto"/>
                      <w:sz w:val="18"/>
                      <w:szCs w:val="18"/>
                    </w:rPr>
                    <w:t>探伤室西侧墙体外30cm</w:t>
                  </w:r>
                  <w:r>
                    <w:rPr>
                      <w:rFonts w:hint="default" w:ascii="Times New Roman" w:hAnsi="Times New Roman" w:cs="Times New Roman"/>
                      <w:color w:val="auto"/>
                      <w:sz w:val="18"/>
                      <w:szCs w:val="18"/>
                      <w:lang w:eastAsia="zh-CN"/>
                    </w:rPr>
                    <w:t>（</w:t>
                  </w:r>
                  <w:r>
                    <w:rPr>
                      <w:rFonts w:hint="default" w:ascii="Times New Roman" w:hAnsi="Times New Roman" w:cs="Times New Roman"/>
                      <w:color w:val="auto"/>
                      <w:sz w:val="18"/>
                      <w:szCs w:val="18"/>
                      <w:lang w:val="en-US" w:eastAsia="zh-CN"/>
                    </w:rPr>
                    <w:t>设备生产车间内</w:t>
                  </w:r>
                  <w:r>
                    <w:rPr>
                      <w:rFonts w:hint="default" w:ascii="Times New Roman" w:hAnsi="Times New Roman" w:cs="Times New Roman"/>
                      <w:color w:val="auto"/>
                      <w:sz w:val="18"/>
                      <w:szCs w:val="18"/>
                      <w:lang w:eastAsia="zh-CN"/>
                    </w:rPr>
                    <w:t>）</w:t>
                  </w:r>
                </w:p>
              </w:tc>
              <w:tc>
                <w:tcPr>
                  <w:tcW w:w="742" w:type="dxa"/>
                  <w:noWrap w:val="0"/>
                  <w:vAlign w:val="center"/>
                </w:tcPr>
                <w:p>
                  <w:pPr>
                    <w:pStyle w:val="53"/>
                    <w:ind w:firstLine="0" w:firstLineChars="0"/>
                    <w:rPr>
                      <w:rFonts w:hint="default" w:ascii="Times New Roman" w:hAnsi="Times New Roman" w:eastAsia="宋体" w:cs="Times New Roman"/>
                      <w:b w:val="0"/>
                      <w:color w:val="auto"/>
                      <w:kern w:val="2"/>
                      <w:sz w:val="18"/>
                      <w:szCs w:val="18"/>
                      <w:lang w:val="en-US" w:eastAsia="zh-CN" w:bidi="ar-SA"/>
                    </w:rPr>
                  </w:pPr>
                  <w:r>
                    <w:rPr>
                      <w:rFonts w:hint="default" w:ascii="Times New Roman" w:hAnsi="Times New Roman" w:cs="Times New Roman"/>
                      <w:color w:val="auto"/>
                      <w:sz w:val="18"/>
                      <w:szCs w:val="18"/>
                    </w:rPr>
                    <w:t>1</w:t>
                  </w:r>
                </w:p>
              </w:tc>
              <w:tc>
                <w:tcPr>
                  <w:tcW w:w="1701"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singl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3.33E-01</w:t>
                  </w:r>
                </w:p>
              </w:tc>
              <w:tc>
                <w:tcPr>
                  <w:tcW w:w="1701" w:type="dxa"/>
                  <w:vMerge w:val="continue"/>
                  <w:noWrap w:val="0"/>
                  <w:vAlign w:val="center"/>
                </w:tcPr>
                <w:p>
                  <w:pPr>
                    <w:pStyle w:val="53"/>
                    <w:rPr>
                      <w:rFonts w:hint="default" w:ascii="Times New Roman" w:hAnsi="Times New Roman" w:cs="Times New Roman"/>
                      <w:color w:val="auto"/>
                      <w:sz w:val="21"/>
                      <w:szCs w:val="21"/>
                      <w:u w:val="single"/>
                    </w:rPr>
                  </w:pPr>
                </w:p>
              </w:tc>
              <w:tc>
                <w:tcPr>
                  <w:tcW w:w="1496" w:type="dxa"/>
                  <w:noWrap w:val="0"/>
                  <w:vAlign w:val="center"/>
                </w:tcPr>
                <w:p>
                  <w:pPr>
                    <w:pStyle w:val="53"/>
                    <w:bidi w:val="0"/>
                    <w:rPr>
                      <w:rFonts w:hint="default"/>
                      <w:sz w:val="18"/>
                      <w:szCs w:val="18"/>
                    </w:rPr>
                  </w:pPr>
                  <w:r>
                    <w:rPr>
                      <w:rFonts w:hint="eastAsia"/>
                      <w:sz w:val="18"/>
                      <w:szCs w:val="18"/>
                      <w:lang w:val="en-US" w:eastAsia="zh-CN"/>
                    </w:rPr>
                    <w:t>2.77E-02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5" w:type="dxa"/>
                  <w:noWrap w:val="0"/>
                  <w:vAlign w:val="center"/>
                </w:tcPr>
                <w:p>
                  <w:pPr>
                    <w:pStyle w:val="53"/>
                    <w:ind w:firstLine="0" w:firstLineChars="0"/>
                    <w:jc w:val="center"/>
                    <w:rPr>
                      <w:rFonts w:hint="default" w:ascii="Times New Roman" w:hAnsi="Times New Roman" w:eastAsia="宋体" w:cs="Times New Roman"/>
                      <w:b w:val="0"/>
                      <w:color w:val="auto"/>
                      <w:kern w:val="2"/>
                      <w:sz w:val="18"/>
                      <w:szCs w:val="18"/>
                      <w:lang w:val="en-US" w:eastAsia="zh-CN" w:bidi="ar-SA"/>
                    </w:rPr>
                  </w:pPr>
                  <w:r>
                    <w:rPr>
                      <w:rFonts w:hint="default" w:ascii="Times New Roman" w:hAnsi="Times New Roman" w:cs="Times New Roman"/>
                      <w:color w:val="auto"/>
                      <w:sz w:val="18"/>
                      <w:szCs w:val="18"/>
                    </w:rPr>
                    <w:t>大铅门外30cm</w:t>
                  </w:r>
                  <w:r>
                    <w:rPr>
                      <w:rFonts w:hint="default" w:ascii="Times New Roman" w:hAnsi="Times New Roman" w:cs="Times New Roman"/>
                      <w:color w:val="auto"/>
                      <w:sz w:val="18"/>
                      <w:szCs w:val="18"/>
                      <w:lang w:eastAsia="zh-CN"/>
                    </w:rPr>
                    <w:t>（</w:t>
                  </w:r>
                  <w:r>
                    <w:rPr>
                      <w:rFonts w:hint="default" w:ascii="Times New Roman" w:hAnsi="Times New Roman" w:cs="Times New Roman"/>
                      <w:color w:val="auto"/>
                      <w:sz w:val="18"/>
                      <w:szCs w:val="18"/>
                      <w:lang w:val="en-US" w:eastAsia="zh-CN"/>
                    </w:rPr>
                    <w:t>设备生产车间入口处</w:t>
                  </w:r>
                  <w:r>
                    <w:rPr>
                      <w:rFonts w:hint="default" w:ascii="Times New Roman" w:hAnsi="Times New Roman" w:cs="Times New Roman"/>
                      <w:color w:val="auto"/>
                      <w:sz w:val="18"/>
                      <w:szCs w:val="18"/>
                      <w:lang w:eastAsia="zh-CN"/>
                    </w:rPr>
                    <w:t>）</w:t>
                  </w:r>
                </w:p>
              </w:tc>
              <w:tc>
                <w:tcPr>
                  <w:tcW w:w="742" w:type="dxa"/>
                  <w:noWrap w:val="0"/>
                  <w:vAlign w:val="center"/>
                </w:tcPr>
                <w:p>
                  <w:pPr>
                    <w:pStyle w:val="53"/>
                    <w:ind w:firstLine="0" w:firstLineChars="0"/>
                    <w:rPr>
                      <w:rFonts w:hint="default" w:ascii="Times New Roman" w:hAnsi="Times New Roman" w:eastAsia="宋体" w:cs="Times New Roman"/>
                      <w:b w:val="0"/>
                      <w:color w:val="auto"/>
                      <w:kern w:val="2"/>
                      <w:sz w:val="18"/>
                      <w:szCs w:val="18"/>
                      <w:lang w:val="en-US" w:eastAsia="zh-CN" w:bidi="ar-SA"/>
                    </w:rPr>
                  </w:pPr>
                  <w:r>
                    <w:rPr>
                      <w:rFonts w:hint="default" w:ascii="Times New Roman" w:hAnsi="Times New Roman" w:cs="Times New Roman"/>
                      <w:color w:val="auto"/>
                      <w:sz w:val="18"/>
                      <w:szCs w:val="18"/>
                    </w:rPr>
                    <w:t>1</w:t>
                  </w:r>
                </w:p>
              </w:tc>
              <w:tc>
                <w:tcPr>
                  <w:tcW w:w="1701"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18"/>
                      <w:szCs w:val="18"/>
                      <w:u w:val="singl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6.49E-02</w:t>
                  </w:r>
                </w:p>
              </w:tc>
              <w:tc>
                <w:tcPr>
                  <w:tcW w:w="1701" w:type="dxa"/>
                  <w:vMerge w:val="continue"/>
                  <w:noWrap w:val="0"/>
                  <w:vAlign w:val="center"/>
                </w:tcPr>
                <w:p>
                  <w:pPr>
                    <w:pStyle w:val="53"/>
                    <w:rPr>
                      <w:rFonts w:hint="default" w:ascii="Times New Roman" w:hAnsi="Times New Roman" w:cs="Times New Roman"/>
                      <w:color w:val="auto"/>
                      <w:sz w:val="21"/>
                      <w:szCs w:val="21"/>
                      <w:u w:val="single"/>
                    </w:rPr>
                  </w:pPr>
                </w:p>
              </w:tc>
              <w:tc>
                <w:tcPr>
                  <w:tcW w:w="1496" w:type="dxa"/>
                  <w:noWrap w:val="0"/>
                  <w:vAlign w:val="center"/>
                </w:tcPr>
                <w:p>
                  <w:pPr>
                    <w:pStyle w:val="53"/>
                    <w:bidi w:val="0"/>
                    <w:rPr>
                      <w:rFonts w:hint="default"/>
                      <w:sz w:val="18"/>
                      <w:szCs w:val="18"/>
                    </w:rPr>
                  </w:pPr>
                  <w:r>
                    <w:rPr>
                      <w:rFonts w:hint="eastAsia"/>
                      <w:sz w:val="18"/>
                      <w:szCs w:val="18"/>
                      <w:lang w:val="en-US" w:eastAsia="zh-CN"/>
                    </w:rPr>
                    <w:t>5.41E-03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5" w:type="dxa"/>
                  <w:noWrap w:val="0"/>
                  <w:vAlign w:val="center"/>
                </w:tcPr>
                <w:p>
                  <w:pPr>
                    <w:pStyle w:val="53"/>
                    <w:ind w:firstLine="0" w:firstLineChars="0"/>
                    <w:jc w:val="center"/>
                    <w:rPr>
                      <w:rFonts w:hint="default" w:ascii="Times New Roman" w:hAnsi="Times New Roman" w:eastAsia="宋体" w:cs="Times New Roman"/>
                      <w:b w:val="0"/>
                      <w:color w:val="auto"/>
                      <w:kern w:val="2"/>
                      <w:sz w:val="18"/>
                      <w:szCs w:val="18"/>
                      <w:lang w:val="en-US" w:eastAsia="zh-CN" w:bidi="ar-SA"/>
                    </w:rPr>
                  </w:pPr>
                  <w:r>
                    <w:rPr>
                      <w:rFonts w:hint="default" w:ascii="Times New Roman" w:hAnsi="Times New Roman" w:cs="Times New Roman"/>
                      <w:color w:val="auto"/>
                      <w:sz w:val="18"/>
                      <w:szCs w:val="18"/>
                      <w:lang w:val="en-US" w:eastAsia="zh-CN"/>
                    </w:rPr>
                    <w:t>设备生产车间西侧道路</w:t>
                  </w:r>
                </w:p>
              </w:tc>
              <w:tc>
                <w:tcPr>
                  <w:tcW w:w="742" w:type="dxa"/>
                  <w:noWrap w:val="0"/>
                  <w:vAlign w:val="center"/>
                </w:tcPr>
                <w:p>
                  <w:pPr>
                    <w:pStyle w:val="53"/>
                    <w:ind w:firstLine="0" w:firstLineChars="0"/>
                    <w:rPr>
                      <w:rFonts w:hint="default" w:ascii="Times New Roman" w:hAnsi="Times New Roman" w:eastAsia="宋体" w:cs="Times New Roman"/>
                      <w:b w:val="0"/>
                      <w:color w:val="auto"/>
                      <w:kern w:val="2"/>
                      <w:sz w:val="18"/>
                      <w:szCs w:val="18"/>
                      <w:lang w:val="en-US" w:eastAsia="zh-CN" w:bidi="ar-SA"/>
                    </w:rPr>
                  </w:pPr>
                  <w:r>
                    <w:rPr>
                      <w:rFonts w:hint="eastAsia" w:cs="Times New Roman"/>
                      <w:color w:val="auto"/>
                      <w:sz w:val="18"/>
                      <w:szCs w:val="18"/>
                      <w:lang w:val="en-US" w:eastAsia="zh-CN"/>
                    </w:rPr>
                    <w:t>1/8</w:t>
                  </w:r>
                </w:p>
              </w:tc>
              <w:tc>
                <w:tcPr>
                  <w:tcW w:w="1701"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18"/>
                      <w:szCs w:val="18"/>
                      <w:u w:val="singl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4.69E-02</w:t>
                  </w:r>
                </w:p>
              </w:tc>
              <w:tc>
                <w:tcPr>
                  <w:tcW w:w="1701" w:type="dxa"/>
                  <w:vMerge w:val="continue"/>
                  <w:noWrap w:val="0"/>
                  <w:vAlign w:val="center"/>
                </w:tcPr>
                <w:p>
                  <w:pPr>
                    <w:pStyle w:val="53"/>
                    <w:rPr>
                      <w:rFonts w:hint="default" w:ascii="Times New Roman" w:hAnsi="Times New Roman" w:cs="Times New Roman"/>
                      <w:color w:val="auto"/>
                      <w:sz w:val="21"/>
                      <w:szCs w:val="21"/>
                      <w:u w:val="single"/>
                    </w:rPr>
                  </w:pPr>
                </w:p>
              </w:tc>
              <w:tc>
                <w:tcPr>
                  <w:tcW w:w="1496" w:type="dxa"/>
                  <w:noWrap w:val="0"/>
                  <w:vAlign w:val="center"/>
                </w:tcPr>
                <w:p>
                  <w:pPr>
                    <w:pStyle w:val="53"/>
                    <w:bidi w:val="0"/>
                    <w:rPr>
                      <w:rFonts w:hint="default"/>
                      <w:sz w:val="18"/>
                      <w:szCs w:val="18"/>
                      <w:lang w:val="en-US" w:eastAsia="zh-CN"/>
                    </w:rPr>
                  </w:pPr>
                  <w:r>
                    <w:rPr>
                      <w:rFonts w:hint="eastAsia"/>
                      <w:sz w:val="18"/>
                      <w:szCs w:val="18"/>
                      <w:lang w:val="en-US" w:eastAsia="zh-CN"/>
                    </w:rPr>
                    <w:t>4.89E-04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5" w:type="dxa"/>
                  <w:noWrap w:val="0"/>
                  <w:vAlign w:val="center"/>
                </w:tcPr>
                <w:p>
                  <w:pPr>
                    <w:pStyle w:val="53"/>
                    <w:ind w:firstLine="0" w:firstLineChars="0"/>
                    <w:jc w:val="center"/>
                    <w:rPr>
                      <w:rFonts w:hint="default" w:ascii="Times New Roman" w:hAnsi="Times New Roman" w:eastAsia="宋体" w:cs="Times New Roman"/>
                      <w:b w:val="0"/>
                      <w:color w:val="auto"/>
                      <w:kern w:val="2"/>
                      <w:sz w:val="18"/>
                      <w:szCs w:val="18"/>
                      <w:lang w:val="en-US" w:eastAsia="zh-CN" w:bidi="ar-SA"/>
                    </w:rPr>
                  </w:pPr>
                  <w:r>
                    <w:rPr>
                      <w:rFonts w:hint="default" w:ascii="Times New Roman" w:hAnsi="Times New Roman" w:cs="Times New Roman"/>
                      <w:color w:val="auto"/>
                      <w:sz w:val="18"/>
                      <w:szCs w:val="18"/>
                      <w:lang w:val="en-US" w:eastAsia="zh-CN"/>
                    </w:rPr>
                    <w:t>设备生产车间东侧道路</w:t>
                  </w:r>
                </w:p>
              </w:tc>
              <w:tc>
                <w:tcPr>
                  <w:tcW w:w="742" w:type="dxa"/>
                  <w:noWrap w:val="0"/>
                  <w:vAlign w:val="center"/>
                </w:tcPr>
                <w:p>
                  <w:pPr>
                    <w:pStyle w:val="53"/>
                    <w:ind w:firstLine="0" w:firstLineChars="0"/>
                    <w:rPr>
                      <w:rFonts w:hint="default" w:ascii="Times New Roman" w:hAnsi="Times New Roman" w:eastAsia="宋体" w:cs="Times New Roman"/>
                      <w:b w:val="0"/>
                      <w:color w:val="auto"/>
                      <w:kern w:val="2"/>
                      <w:sz w:val="18"/>
                      <w:szCs w:val="18"/>
                      <w:lang w:val="en-US" w:eastAsia="zh-CN" w:bidi="ar-SA"/>
                    </w:rPr>
                  </w:pPr>
                  <w:r>
                    <w:rPr>
                      <w:rFonts w:hint="eastAsia" w:cs="Times New Roman"/>
                      <w:color w:val="auto"/>
                      <w:sz w:val="18"/>
                      <w:szCs w:val="18"/>
                      <w:lang w:val="en-US" w:eastAsia="zh-CN"/>
                    </w:rPr>
                    <w:t>1/8</w:t>
                  </w:r>
                </w:p>
              </w:tc>
              <w:tc>
                <w:tcPr>
                  <w:tcW w:w="1701"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18"/>
                      <w:szCs w:val="18"/>
                      <w:u w:val="singl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6.75E-04</w:t>
                  </w:r>
                </w:p>
              </w:tc>
              <w:tc>
                <w:tcPr>
                  <w:tcW w:w="1701" w:type="dxa"/>
                  <w:vMerge w:val="continue"/>
                  <w:noWrap w:val="0"/>
                  <w:vAlign w:val="center"/>
                </w:tcPr>
                <w:p>
                  <w:pPr>
                    <w:pStyle w:val="53"/>
                    <w:rPr>
                      <w:rFonts w:hint="default" w:ascii="Times New Roman" w:hAnsi="Times New Roman" w:cs="Times New Roman"/>
                      <w:color w:val="auto"/>
                      <w:sz w:val="21"/>
                      <w:szCs w:val="21"/>
                      <w:u w:val="single"/>
                    </w:rPr>
                  </w:pPr>
                </w:p>
              </w:tc>
              <w:tc>
                <w:tcPr>
                  <w:tcW w:w="1496" w:type="dxa"/>
                  <w:noWrap w:val="0"/>
                  <w:vAlign w:val="center"/>
                </w:tcPr>
                <w:p>
                  <w:pPr>
                    <w:pStyle w:val="53"/>
                    <w:bidi w:val="0"/>
                    <w:rPr>
                      <w:rFonts w:hint="default"/>
                      <w:sz w:val="18"/>
                      <w:szCs w:val="18"/>
                      <w:lang w:val="en-US" w:eastAsia="zh-CN"/>
                    </w:rPr>
                  </w:pPr>
                  <w:r>
                    <w:rPr>
                      <w:rFonts w:hint="eastAsia"/>
                      <w:sz w:val="18"/>
                      <w:szCs w:val="18"/>
                      <w:lang w:val="en-US" w:eastAsia="zh-CN"/>
                    </w:rPr>
                    <w:t>7.03E-06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5" w:type="dxa"/>
                  <w:noWrap w:val="0"/>
                  <w:vAlign w:val="center"/>
                </w:tcPr>
                <w:p>
                  <w:pPr>
                    <w:pStyle w:val="53"/>
                    <w:ind w:firstLine="0" w:firstLineChars="0"/>
                    <w:jc w:val="center"/>
                    <w:rPr>
                      <w:rFonts w:hint="default" w:ascii="Times New Roman" w:hAnsi="Times New Roman" w:eastAsia="宋体" w:cs="Times New Roman"/>
                      <w:b w:val="0"/>
                      <w:color w:val="auto"/>
                      <w:kern w:val="2"/>
                      <w:sz w:val="18"/>
                      <w:szCs w:val="18"/>
                      <w:lang w:val="en-US" w:eastAsia="zh-CN" w:bidi="ar-SA"/>
                    </w:rPr>
                  </w:pPr>
                  <w:r>
                    <w:rPr>
                      <w:rFonts w:hint="default" w:ascii="Times New Roman" w:hAnsi="Times New Roman" w:cs="Times New Roman"/>
                      <w:color w:val="auto"/>
                      <w:sz w:val="18"/>
                      <w:szCs w:val="18"/>
                      <w:lang w:val="en-US" w:eastAsia="zh-CN"/>
                    </w:rPr>
                    <w:t>设备生产车间南侧磅房</w:t>
                  </w:r>
                </w:p>
              </w:tc>
              <w:tc>
                <w:tcPr>
                  <w:tcW w:w="742" w:type="dxa"/>
                  <w:noWrap w:val="0"/>
                  <w:vAlign w:val="center"/>
                </w:tcPr>
                <w:p>
                  <w:pPr>
                    <w:pStyle w:val="53"/>
                    <w:ind w:firstLine="0" w:firstLineChars="0"/>
                    <w:rPr>
                      <w:rFonts w:hint="default" w:ascii="Times New Roman" w:hAnsi="Times New Roman" w:eastAsia="宋体" w:cs="Times New Roman"/>
                      <w:b w:val="0"/>
                      <w:color w:val="auto"/>
                      <w:kern w:val="2"/>
                      <w:sz w:val="18"/>
                      <w:szCs w:val="18"/>
                      <w:lang w:val="en-US" w:eastAsia="zh-CN" w:bidi="ar-SA"/>
                    </w:rPr>
                  </w:pPr>
                  <w:r>
                    <w:rPr>
                      <w:rFonts w:hint="eastAsia" w:cs="Times New Roman"/>
                      <w:color w:val="auto"/>
                      <w:sz w:val="18"/>
                      <w:szCs w:val="18"/>
                      <w:lang w:val="en-US" w:eastAsia="zh-CN"/>
                    </w:rPr>
                    <w:t>1/4</w:t>
                  </w:r>
                </w:p>
              </w:tc>
              <w:tc>
                <w:tcPr>
                  <w:tcW w:w="1701"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18"/>
                      <w:szCs w:val="18"/>
                      <w:u w:val="singl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6.58E-04</w:t>
                  </w:r>
                </w:p>
              </w:tc>
              <w:tc>
                <w:tcPr>
                  <w:tcW w:w="1701" w:type="dxa"/>
                  <w:vMerge w:val="continue"/>
                  <w:noWrap w:val="0"/>
                  <w:vAlign w:val="center"/>
                </w:tcPr>
                <w:p>
                  <w:pPr>
                    <w:pStyle w:val="53"/>
                    <w:rPr>
                      <w:rFonts w:hint="default" w:ascii="Times New Roman" w:hAnsi="Times New Roman" w:cs="Times New Roman"/>
                      <w:color w:val="auto"/>
                      <w:sz w:val="21"/>
                      <w:szCs w:val="21"/>
                      <w:u w:val="single"/>
                    </w:rPr>
                  </w:pPr>
                </w:p>
              </w:tc>
              <w:tc>
                <w:tcPr>
                  <w:tcW w:w="1496" w:type="dxa"/>
                  <w:noWrap w:val="0"/>
                  <w:vAlign w:val="center"/>
                </w:tcPr>
                <w:p>
                  <w:pPr>
                    <w:pStyle w:val="53"/>
                    <w:bidi w:val="0"/>
                    <w:rPr>
                      <w:rFonts w:hint="default"/>
                      <w:sz w:val="18"/>
                      <w:szCs w:val="18"/>
                    </w:rPr>
                  </w:pPr>
                  <w:r>
                    <w:rPr>
                      <w:rFonts w:hint="eastAsia"/>
                      <w:sz w:val="18"/>
                      <w:szCs w:val="18"/>
                      <w:lang w:val="en-US" w:eastAsia="zh-CN"/>
                    </w:rPr>
                    <w:t>1.37E-05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5" w:type="dxa"/>
                  <w:noWrap w:val="0"/>
                  <w:vAlign w:val="center"/>
                </w:tcPr>
                <w:p>
                  <w:pPr>
                    <w:pStyle w:val="53"/>
                    <w:ind w:firstLine="0" w:firstLineChars="0"/>
                    <w:jc w:val="center"/>
                    <w:rPr>
                      <w:rFonts w:hint="default" w:ascii="Times New Roman" w:hAnsi="Times New Roman" w:eastAsia="宋体" w:cs="Times New Roman"/>
                      <w:b w:val="0"/>
                      <w:color w:val="auto"/>
                      <w:kern w:val="2"/>
                      <w:sz w:val="18"/>
                      <w:szCs w:val="18"/>
                      <w:lang w:val="en-US" w:eastAsia="zh-CN" w:bidi="ar-SA"/>
                    </w:rPr>
                  </w:pPr>
                  <w:r>
                    <w:rPr>
                      <w:rFonts w:hint="default" w:ascii="Times New Roman" w:hAnsi="Times New Roman" w:cs="Times New Roman"/>
                      <w:color w:val="auto"/>
                      <w:sz w:val="18"/>
                      <w:szCs w:val="18"/>
                      <w:lang w:val="en-US" w:eastAsia="zh-CN"/>
                    </w:rPr>
                    <w:t>北侧工业园厂房</w:t>
                  </w:r>
                </w:p>
              </w:tc>
              <w:tc>
                <w:tcPr>
                  <w:tcW w:w="742" w:type="dxa"/>
                  <w:noWrap w:val="0"/>
                  <w:vAlign w:val="center"/>
                </w:tcPr>
                <w:p>
                  <w:pPr>
                    <w:pStyle w:val="53"/>
                    <w:ind w:firstLine="0" w:firstLineChars="0"/>
                    <w:rPr>
                      <w:rFonts w:hint="default" w:ascii="Times New Roman" w:hAnsi="Times New Roman" w:eastAsia="宋体" w:cs="Times New Roman"/>
                      <w:b w:val="0"/>
                      <w:color w:val="auto"/>
                      <w:kern w:val="2"/>
                      <w:sz w:val="18"/>
                      <w:szCs w:val="18"/>
                      <w:lang w:val="en-US" w:eastAsia="zh-CN" w:bidi="ar-SA"/>
                    </w:rPr>
                  </w:pPr>
                  <w:r>
                    <w:rPr>
                      <w:rFonts w:hint="eastAsia" w:cs="Times New Roman"/>
                      <w:color w:val="auto"/>
                      <w:sz w:val="18"/>
                      <w:szCs w:val="18"/>
                      <w:lang w:val="en-US" w:eastAsia="zh-CN"/>
                    </w:rPr>
                    <w:t>1</w:t>
                  </w:r>
                </w:p>
              </w:tc>
              <w:tc>
                <w:tcPr>
                  <w:tcW w:w="1701" w:type="dxa"/>
                  <w:noWrap w:val="0"/>
                  <w:vAlign w:val="center"/>
                </w:tcPr>
                <w:p>
                  <w:pPr>
                    <w:pStyle w:val="53"/>
                    <w:bidi w:val="0"/>
                    <w:ind w:firstLine="0" w:firstLineChars="0"/>
                    <w:rPr>
                      <w:rFonts w:hint="default" w:ascii="Times New Roman" w:hAnsi="Times New Roman" w:eastAsia="宋体" w:cs="Times New Roman"/>
                      <w:color w:val="auto"/>
                      <w:kern w:val="2"/>
                      <w:sz w:val="18"/>
                      <w:szCs w:val="18"/>
                      <w:u w:val="single"/>
                      <w:lang w:val="en-US" w:eastAsia="zh-CN" w:bidi="ar-SA"/>
                    </w:rPr>
                  </w:pPr>
                  <w:r>
                    <w:rPr>
                      <w:rFonts w:hint="eastAsia"/>
                      <w:sz w:val="18"/>
                      <w:szCs w:val="18"/>
                      <w:lang w:val="en-US" w:eastAsia="zh-CN"/>
                    </w:rPr>
                    <w:t>2.04E-03</w:t>
                  </w:r>
                </w:p>
              </w:tc>
              <w:tc>
                <w:tcPr>
                  <w:tcW w:w="1701" w:type="dxa"/>
                  <w:vMerge w:val="continue"/>
                  <w:noWrap w:val="0"/>
                  <w:vAlign w:val="center"/>
                </w:tcPr>
                <w:p>
                  <w:pPr>
                    <w:pStyle w:val="53"/>
                    <w:rPr>
                      <w:rFonts w:hint="default" w:ascii="Times New Roman" w:hAnsi="Times New Roman" w:cs="Times New Roman"/>
                      <w:color w:val="auto"/>
                      <w:sz w:val="21"/>
                      <w:szCs w:val="21"/>
                      <w:u w:val="single"/>
                    </w:rPr>
                  </w:pPr>
                </w:p>
              </w:tc>
              <w:tc>
                <w:tcPr>
                  <w:tcW w:w="1496" w:type="dxa"/>
                  <w:noWrap w:val="0"/>
                  <w:vAlign w:val="center"/>
                </w:tcPr>
                <w:p>
                  <w:pPr>
                    <w:pStyle w:val="53"/>
                    <w:bidi w:val="0"/>
                    <w:rPr>
                      <w:rFonts w:hint="default"/>
                      <w:sz w:val="18"/>
                      <w:szCs w:val="18"/>
                    </w:rPr>
                  </w:pPr>
                  <w:r>
                    <w:rPr>
                      <w:rFonts w:hint="eastAsia"/>
                      <w:sz w:val="18"/>
                      <w:szCs w:val="18"/>
                      <w:lang w:val="en-US" w:eastAsia="zh-CN"/>
                    </w:rPr>
                    <w:t>1.70E-04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5" w:type="dxa"/>
                  <w:noWrap w:val="0"/>
                  <w:vAlign w:val="center"/>
                </w:tcPr>
                <w:p>
                  <w:pPr>
                    <w:pStyle w:val="53"/>
                    <w:ind w:firstLine="0" w:firstLineChars="0"/>
                    <w:jc w:val="center"/>
                    <w:rPr>
                      <w:rFonts w:hint="default" w:ascii="Times New Roman" w:hAnsi="Times New Roman" w:eastAsia="宋体" w:cs="Times New Roman"/>
                      <w:b w:val="0"/>
                      <w:color w:val="auto"/>
                      <w:kern w:val="2"/>
                      <w:sz w:val="18"/>
                      <w:szCs w:val="18"/>
                      <w:lang w:val="en-US" w:eastAsia="zh-CN" w:bidi="ar-SA"/>
                    </w:rPr>
                  </w:pPr>
                  <w:r>
                    <w:rPr>
                      <w:rFonts w:hint="default" w:ascii="Times New Roman" w:hAnsi="Times New Roman" w:cs="Times New Roman"/>
                      <w:color w:val="auto"/>
                      <w:sz w:val="18"/>
                      <w:szCs w:val="18"/>
                    </w:rPr>
                    <w:t>探伤室北侧墙体外30cm</w:t>
                  </w:r>
                  <w:r>
                    <w:rPr>
                      <w:rFonts w:hint="default" w:ascii="Times New Roman" w:hAnsi="Times New Roman" w:cs="Times New Roman"/>
                      <w:color w:val="auto"/>
                      <w:sz w:val="18"/>
                      <w:szCs w:val="18"/>
                      <w:lang w:eastAsia="zh-CN"/>
                    </w:rPr>
                    <w:t>（</w:t>
                  </w:r>
                  <w:r>
                    <w:rPr>
                      <w:rFonts w:hint="default" w:ascii="Times New Roman" w:hAnsi="Times New Roman" w:cs="Times New Roman"/>
                      <w:color w:val="auto"/>
                      <w:sz w:val="18"/>
                      <w:szCs w:val="18"/>
                      <w:lang w:val="en-US" w:eastAsia="zh-CN"/>
                    </w:rPr>
                    <w:t>设备生产车间内</w:t>
                  </w:r>
                  <w:r>
                    <w:rPr>
                      <w:rFonts w:hint="default" w:ascii="Times New Roman" w:hAnsi="Times New Roman" w:cs="Times New Roman"/>
                      <w:color w:val="auto"/>
                      <w:sz w:val="18"/>
                      <w:szCs w:val="18"/>
                      <w:lang w:eastAsia="zh-CN"/>
                    </w:rPr>
                    <w:t>）</w:t>
                  </w:r>
                </w:p>
              </w:tc>
              <w:tc>
                <w:tcPr>
                  <w:tcW w:w="742" w:type="dxa"/>
                  <w:noWrap w:val="0"/>
                  <w:vAlign w:val="center"/>
                </w:tcPr>
                <w:p>
                  <w:pPr>
                    <w:pStyle w:val="53"/>
                    <w:ind w:firstLine="0" w:firstLineChars="0"/>
                    <w:rPr>
                      <w:rFonts w:hint="default" w:ascii="Times New Roman" w:hAnsi="Times New Roman" w:eastAsia="宋体" w:cs="Times New Roman"/>
                      <w:b w:val="0"/>
                      <w:color w:val="auto"/>
                      <w:kern w:val="2"/>
                      <w:sz w:val="18"/>
                      <w:szCs w:val="18"/>
                      <w:lang w:val="en-US" w:eastAsia="zh-CN" w:bidi="ar-SA"/>
                    </w:rPr>
                  </w:pPr>
                  <w:r>
                    <w:rPr>
                      <w:rFonts w:hint="eastAsia" w:cs="Times New Roman"/>
                      <w:color w:val="auto"/>
                      <w:sz w:val="18"/>
                      <w:szCs w:val="18"/>
                      <w:u w:val="single"/>
                      <w:lang w:val="en-US" w:eastAsia="zh-CN"/>
                    </w:rPr>
                    <w:t>1</w:t>
                  </w:r>
                </w:p>
              </w:tc>
              <w:tc>
                <w:tcPr>
                  <w:tcW w:w="1701" w:type="dxa"/>
                  <w:noWrap w:val="0"/>
                  <w:vAlign w:val="center"/>
                </w:tcPr>
                <w:p>
                  <w:pPr>
                    <w:pStyle w:val="53"/>
                    <w:bidi w:val="0"/>
                    <w:ind w:firstLine="0" w:firstLineChars="0"/>
                    <w:rPr>
                      <w:rFonts w:hint="default" w:ascii="Times New Roman" w:hAnsi="Times New Roman" w:eastAsia="宋体" w:cs="Times New Roman"/>
                      <w:color w:val="auto"/>
                      <w:kern w:val="2"/>
                      <w:sz w:val="18"/>
                      <w:szCs w:val="18"/>
                      <w:u w:val="single"/>
                      <w:lang w:val="en-US" w:eastAsia="zh-CN" w:bidi="ar-SA"/>
                    </w:rPr>
                  </w:pPr>
                  <w:r>
                    <w:rPr>
                      <w:rFonts w:hint="eastAsia"/>
                      <w:sz w:val="18"/>
                      <w:szCs w:val="18"/>
                      <w:lang w:val="en-US" w:eastAsia="zh-CN"/>
                    </w:rPr>
                    <w:t>2.26E-01</w:t>
                  </w:r>
                </w:p>
              </w:tc>
              <w:tc>
                <w:tcPr>
                  <w:tcW w:w="1701" w:type="dxa"/>
                  <w:vMerge w:val="continue"/>
                  <w:noWrap w:val="0"/>
                  <w:vAlign w:val="center"/>
                </w:tcPr>
                <w:p>
                  <w:pPr>
                    <w:pStyle w:val="53"/>
                    <w:rPr>
                      <w:rFonts w:hint="default" w:ascii="Times New Roman" w:hAnsi="Times New Roman" w:cs="Times New Roman"/>
                      <w:color w:val="auto"/>
                      <w:sz w:val="21"/>
                      <w:szCs w:val="21"/>
                      <w:u w:val="single"/>
                    </w:rPr>
                  </w:pPr>
                </w:p>
              </w:tc>
              <w:tc>
                <w:tcPr>
                  <w:tcW w:w="1496" w:type="dxa"/>
                  <w:noWrap w:val="0"/>
                  <w:vAlign w:val="center"/>
                </w:tcPr>
                <w:p>
                  <w:pPr>
                    <w:pStyle w:val="53"/>
                    <w:bidi w:val="0"/>
                    <w:rPr>
                      <w:rFonts w:hint="default"/>
                      <w:sz w:val="18"/>
                      <w:szCs w:val="18"/>
                    </w:rPr>
                  </w:pPr>
                  <w:r>
                    <w:rPr>
                      <w:rFonts w:hint="eastAsia"/>
                      <w:sz w:val="18"/>
                      <w:szCs w:val="18"/>
                      <w:lang w:val="en-US" w:eastAsia="zh-CN"/>
                    </w:rPr>
                    <w:t>1.88E-02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5" w:type="dxa"/>
                  <w:noWrap w:val="0"/>
                  <w:vAlign w:val="center"/>
                </w:tcPr>
                <w:p>
                  <w:pPr>
                    <w:pStyle w:val="53"/>
                    <w:ind w:firstLine="0" w:firstLineChars="0"/>
                    <w:jc w:val="center"/>
                    <w:rPr>
                      <w:rFonts w:hint="default" w:ascii="Times New Roman" w:hAnsi="Times New Roman" w:eastAsia="宋体" w:cs="Times New Roman"/>
                      <w:b w:val="0"/>
                      <w:color w:val="auto"/>
                      <w:kern w:val="2"/>
                      <w:sz w:val="18"/>
                      <w:szCs w:val="18"/>
                      <w:lang w:val="en-US" w:eastAsia="zh-CN" w:bidi="ar-SA"/>
                    </w:rPr>
                  </w:pPr>
                  <w:r>
                    <w:rPr>
                      <w:rFonts w:hint="default" w:ascii="Times New Roman" w:hAnsi="Times New Roman" w:cs="Times New Roman"/>
                      <w:color w:val="auto"/>
                      <w:sz w:val="18"/>
                      <w:szCs w:val="18"/>
                      <w:lang w:val="en-US" w:eastAsia="zh-CN"/>
                    </w:rPr>
                    <w:t>设备生产车间北侧道路</w:t>
                  </w:r>
                </w:p>
              </w:tc>
              <w:tc>
                <w:tcPr>
                  <w:tcW w:w="742" w:type="dxa"/>
                  <w:noWrap w:val="0"/>
                  <w:vAlign w:val="center"/>
                </w:tcPr>
                <w:p>
                  <w:pPr>
                    <w:bidi w:val="0"/>
                    <w:jc w:val="center"/>
                    <w:rPr>
                      <w:rFonts w:hint="default" w:ascii="Times New Roman" w:hAnsi="Times New Roman" w:eastAsia="宋体" w:cs="Times New Roman"/>
                      <w:b w:val="0"/>
                      <w:color w:val="auto"/>
                      <w:kern w:val="2"/>
                      <w:sz w:val="18"/>
                      <w:szCs w:val="18"/>
                      <w:lang w:val="en-US" w:eastAsia="zh-CN" w:bidi="ar-SA"/>
                    </w:rPr>
                  </w:pPr>
                  <w:r>
                    <w:rPr>
                      <w:rFonts w:hint="default" w:ascii="Times New Roman" w:hAnsi="Times New Roman" w:cs="Times New Roman"/>
                      <w:color w:val="auto"/>
                      <w:sz w:val="18"/>
                      <w:szCs w:val="18"/>
                      <w:u w:val="single"/>
                      <w:lang w:val="en-US" w:eastAsia="zh-CN"/>
                    </w:rPr>
                    <w:t>1/8</w:t>
                  </w:r>
                </w:p>
              </w:tc>
              <w:tc>
                <w:tcPr>
                  <w:tcW w:w="1701" w:type="dxa"/>
                  <w:noWrap w:val="0"/>
                  <w:vAlign w:val="center"/>
                </w:tcPr>
                <w:p>
                  <w:pPr>
                    <w:pStyle w:val="53"/>
                    <w:bidi w:val="0"/>
                    <w:ind w:firstLine="0" w:firstLineChars="0"/>
                    <w:rPr>
                      <w:rFonts w:hint="default" w:ascii="Times New Roman" w:hAnsi="Times New Roman" w:eastAsia="宋体" w:cs="Times New Roman"/>
                      <w:color w:val="auto"/>
                      <w:kern w:val="2"/>
                      <w:sz w:val="18"/>
                      <w:szCs w:val="18"/>
                      <w:u w:val="single"/>
                      <w:lang w:val="en-US" w:eastAsia="zh-CN" w:bidi="ar-SA"/>
                    </w:rPr>
                  </w:pPr>
                  <w:r>
                    <w:rPr>
                      <w:rFonts w:hint="eastAsia"/>
                      <w:sz w:val="18"/>
                      <w:szCs w:val="18"/>
                      <w:lang w:val="en-US" w:eastAsia="zh-CN"/>
                    </w:rPr>
                    <w:t>1.30E-01</w:t>
                  </w:r>
                </w:p>
              </w:tc>
              <w:tc>
                <w:tcPr>
                  <w:tcW w:w="1701" w:type="dxa"/>
                  <w:vMerge w:val="continue"/>
                  <w:noWrap w:val="0"/>
                  <w:vAlign w:val="center"/>
                </w:tcPr>
                <w:p>
                  <w:pPr>
                    <w:pStyle w:val="53"/>
                    <w:rPr>
                      <w:rFonts w:hint="default" w:ascii="Times New Roman" w:hAnsi="Times New Roman" w:cs="Times New Roman"/>
                      <w:color w:val="auto"/>
                      <w:sz w:val="21"/>
                      <w:szCs w:val="21"/>
                      <w:u w:val="single"/>
                    </w:rPr>
                  </w:pPr>
                </w:p>
              </w:tc>
              <w:tc>
                <w:tcPr>
                  <w:tcW w:w="1496" w:type="dxa"/>
                  <w:noWrap w:val="0"/>
                  <w:vAlign w:val="center"/>
                </w:tcPr>
                <w:p>
                  <w:pPr>
                    <w:pStyle w:val="53"/>
                    <w:bidi w:val="0"/>
                    <w:rPr>
                      <w:rFonts w:hint="default"/>
                      <w:sz w:val="18"/>
                      <w:szCs w:val="18"/>
                    </w:rPr>
                  </w:pPr>
                  <w:r>
                    <w:rPr>
                      <w:rFonts w:hint="eastAsia"/>
                      <w:sz w:val="18"/>
                      <w:szCs w:val="18"/>
                      <w:lang w:val="en-US" w:eastAsia="zh-CN"/>
                    </w:rPr>
                    <w:t>1.35E-03</w:t>
                  </w:r>
                </w:p>
              </w:tc>
            </w:tr>
          </w:tbl>
          <w:p>
            <w:pPr>
              <w:pStyle w:val="47"/>
              <w:rPr>
                <w:rFonts w:hint="default" w:ascii="Times New Roman" w:hAnsi="Times New Roman" w:cs="Times New Roman"/>
                <w:color w:val="auto"/>
                <w:kern w:val="0"/>
              </w:rPr>
            </w:pPr>
            <w:r>
              <w:rPr>
                <w:rFonts w:hint="default" w:ascii="Times New Roman" w:hAnsi="Times New Roman" w:cs="Times New Roman"/>
                <w:color w:val="auto"/>
                <w:kern w:val="0"/>
              </w:rPr>
              <w:t>根据表11-8，本项目对周围公众成员的年剂量值</w:t>
            </w:r>
            <w:r>
              <w:rPr>
                <w:rFonts w:hint="default" w:ascii="Times New Roman" w:hAnsi="Times New Roman" w:cs="Times New Roman"/>
                <w:color w:val="auto"/>
              </w:rPr>
              <w:t>均低于</w:t>
            </w:r>
            <w:r>
              <w:rPr>
                <w:rFonts w:hint="eastAsia" w:cs="Times New Roman"/>
                <w:color w:val="auto"/>
                <w:lang w:val="en-US" w:eastAsia="zh-CN"/>
              </w:rPr>
              <w:t>企业的</w:t>
            </w:r>
            <w:r>
              <w:rPr>
                <w:rFonts w:hint="default" w:ascii="Times New Roman" w:hAnsi="Times New Roman" w:cs="Times New Roman"/>
                <w:color w:val="auto"/>
              </w:rPr>
              <w:t>管理目标值0.1mSv/a</w:t>
            </w:r>
            <w:r>
              <w:rPr>
                <w:rFonts w:hint="default" w:ascii="Times New Roman" w:hAnsi="Times New Roman" w:cs="Times New Roman"/>
                <w:color w:val="auto"/>
                <w:kern w:val="0"/>
              </w:rPr>
              <w:t>，满足《电离辐射防护与辐射源安全基本标准》（GB18871－2002）剂量限值的要求，满足《工业X射线探伤放射防护要求》（GBZ117－2015）的要求。</w:t>
            </w:r>
          </w:p>
          <w:p>
            <w:pPr>
              <w:pStyle w:val="47"/>
              <w:ind w:firstLine="482"/>
              <w:rPr>
                <w:rFonts w:hint="default" w:ascii="Times New Roman" w:hAnsi="Times New Roman" w:cs="Times New Roman"/>
                <w:b/>
                <w:bCs/>
                <w:color w:val="auto"/>
                <w:kern w:val="0"/>
              </w:rPr>
            </w:pPr>
            <w:r>
              <w:rPr>
                <w:rFonts w:hint="default" w:ascii="Times New Roman" w:hAnsi="Times New Roman" w:cs="Times New Roman"/>
                <w:b/>
                <w:bCs/>
                <w:color w:val="auto"/>
                <w:kern w:val="0"/>
              </w:rPr>
              <w:t>11.2.5设备检修时辐射环境影响分析</w:t>
            </w:r>
          </w:p>
          <w:p>
            <w:pPr>
              <w:pStyle w:val="47"/>
              <w:rPr>
                <w:rFonts w:hint="default" w:ascii="Times New Roman" w:hAnsi="Times New Roman" w:cs="Times New Roman"/>
                <w:color w:val="auto"/>
                <w:kern w:val="0"/>
              </w:rPr>
            </w:pPr>
            <w:r>
              <w:rPr>
                <w:rFonts w:hint="default" w:ascii="Times New Roman" w:hAnsi="Times New Roman" w:cs="Times New Roman"/>
                <w:color w:val="auto"/>
                <w:kern w:val="0"/>
              </w:rPr>
              <w:t>建设单位定期对设备进行检查，发现问题及时通知生产厂家，安排技术人员进行维护和修理。设备检修均在断电情况下进行，无放射性污染产生。</w:t>
            </w:r>
          </w:p>
          <w:p>
            <w:pPr>
              <w:pStyle w:val="45"/>
              <w:spacing w:before="156" w:after="156"/>
              <w:rPr>
                <w:rFonts w:hint="default" w:ascii="Times New Roman" w:hAnsi="Times New Roman" w:cs="Times New Roman"/>
                <w:color w:val="auto"/>
              </w:rPr>
            </w:pPr>
            <w:r>
              <w:rPr>
                <w:rFonts w:hint="default" w:ascii="Times New Roman" w:hAnsi="Times New Roman" w:cs="Times New Roman"/>
                <w:color w:val="auto"/>
              </w:rPr>
              <w:t>11.3对敏感点的影响分析</w:t>
            </w:r>
          </w:p>
          <w:p>
            <w:pPr>
              <w:pStyle w:val="47"/>
              <w:rPr>
                <w:rFonts w:hint="default" w:ascii="Times New Roman" w:hAnsi="Times New Roman" w:cs="Times New Roman"/>
                <w:color w:val="auto"/>
              </w:rPr>
            </w:pPr>
            <w:r>
              <w:rPr>
                <w:rFonts w:hint="default" w:ascii="Times New Roman" w:hAnsi="Times New Roman" w:cs="Times New Roman"/>
                <w:color w:val="auto"/>
              </w:rPr>
              <w:t>据上述分析及表11-6计算结果，探伤室四周屏蔽体外30cm处的周围剂量当量率低于2.5μSv/h，顶棚上30cm处周围剂量当量率不大于100μSv/h，满足评价标准要求；根据表11-8剂量估算结果，射线装置运行后对周围公众的年附加有效剂量低于0.1mSv/a，满足评价标准要求。</w:t>
            </w:r>
          </w:p>
          <w:p>
            <w:pPr>
              <w:pStyle w:val="47"/>
              <w:rPr>
                <w:rFonts w:hint="default" w:ascii="Times New Roman" w:hAnsi="Times New Roman" w:cs="Times New Roman"/>
                <w:color w:val="auto"/>
              </w:rPr>
            </w:pPr>
            <w:r>
              <w:rPr>
                <w:rFonts w:hint="default" w:ascii="Times New Roman" w:hAnsi="Times New Roman" w:cs="Times New Roman"/>
                <w:color w:val="auto"/>
              </w:rPr>
              <w:t>综上所述，本项目在落实各项屏蔽措施，规范管理和操作的情况下，项目探伤产生的辐射影响是可以接受的。</w:t>
            </w:r>
          </w:p>
          <w:p>
            <w:pPr>
              <w:pStyle w:val="45"/>
              <w:spacing w:before="156" w:after="156"/>
              <w:rPr>
                <w:rFonts w:hint="default" w:ascii="Times New Roman" w:hAnsi="Times New Roman" w:cs="Times New Roman"/>
                <w:color w:val="auto"/>
              </w:rPr>
            </w:pPr>
            <w:r>
              <w:rPr>
                <w:rFonts w:hint="default" w:ascii="Times New Roman" w:hAnsi="Times New Roman" w:cs="Times New Roman"/>
                <w:color w:val="auto"/>
              </w:rPr>
              <w:t>11.4废水环境影响分析</w:t>
            </w:r>
          </w:p>
          <w:p>
            <w:pPr>
              <w:pStyle w:val="47"/>
              <w:ind w:firstLine="482"/>
              <w:rPr>
                <w:b/>
                <w:color w:val="000000" w:themeColor="text1"/>
                <w:highlight w:val="none"/>
                <w14:textFill>
                  <w14:solidFill>
                    <w14:schemeClr w14:val="tx1"/>
                  </w14:solidFill>
                </w14:textFill>
              </w:rPr>
            </w:pPr>
            <w:r>
              <w:rPr>
                <w:rFonts w:hint="eastAsia"/>
                <w:b/>
                <w:color w:val="000000" w:themeColor="text1"/>
                <w:highlight w:val="none"/>
                <w14:textFill>
                  <w14:solidFill>
                    <w14:schemeClr w14:val="tx1"/>
                  </w14:solidFill>
                </w14:textFill>
              </w:rPr>
              <w:t>1）洗片废液废水</w:t>
            </w:r>
          </w:p>
          <w:p>
            <w:pPr>
              <w:pStyle w:val="47"/>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本项目洗片产生的含重金属的饱和废显影液、定影液需要定期更换；洗片废水也收集起来存放在暗室内的废物桶内，其中，废定影液、显影液产生量为</w:t>
            </w:r>
            <w:r>
              <w:rPr>
                <w:rFonts w:hint="eastAsia"/>
                <w:color w:val="000000" w:themeColor="text1"/>
                <w:highlight w:val="none"/>
                <w:lang w:val="en-US" w:eastAsia="zh-CN"/>
                <w14:textFill>
                  <w14:solidFill>
                    <w14:schemeClr w14:val="tx1"/>
                  </w14:solidFill>
                </w14:textFill>
              </w:rPr>
              <w:t>0.2</w:t>
            </w:r>
            <w:r>
              <w:rPr>
                <w:rFonts w:hint="eastAsia"/>
                <w:color w:val="000000" w:themeColor="text1"/>
                <w:highlight w:val="none"/>
                <w14:textFill>
                  <w14:solidFill>
                    <w14:schemeClr w14:val="tx1"/>
                  </w14:solidFill>
                </w14:textFill>
              </w:rPr>
              <w:t>t/a，洗片废水产生量约为</w:t>
            </w:r>
            <w:r>
              <w:rPr>
                <w:rFonts w:hint="eastAsia"/>
                <w:color w:val="000000" w:themeColor="text1"/>
                <w:highlight w:val="none"/>
                <w:lang w:val="en-US" w:eastAsia="zh-CN"/>
                <w14:textFill>
                  <w14:solidFill>
                    <w14:schemeClr w14:val="tx1"/>
                  </w14:solidFill>
                </w14:textFill>
              </w:rPr>
              <w:t>0.2</w:t>
            </w:r>
            <w:r>
              <w:rPr>
                <w:rFonts w:hint="eastAsia"/>
                <w:color w:val="000000" w:themeColor="text1"/>
                <w:highlight w:val="none"/>
                <w14:textFill>
                  <w14:solidFill>
                    <w14:schemeClr w14:val="tx1"/>
                  </w14:solidFill>
                </w14:textFill>
              </w:rPr>
              <w:t>t/a，收集后定期交由有危废处理资质单位收集后统一处理。公司应建立危废台帐，记录危废产生量、处置量及去向，并按照危险废物五联单制度进行管理。</w:t>
            </w:r>
          </w:p>
          <w:p>
            <w:pPr>
              <w:pStyle w:val="47"/>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公司应尽快与有相关资质单位签订危废处理协议，同时公司应对临时储存显影液、定影液及废片采取防止泄漏等相关措施，不致因泄漏而外排；对盛装危险废物的容器上必须粘贴符合要求的标签、使用符合标准的容器盛装危险废物等。</w:t>
            </w:r>
          </w:p>
          <w:p>
            <w:pPr>
              <w:pStyle w:val="47"/>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评价要求危险废物暂存区按照《危险废物贮存污染控制标准》（GB18597-2001）的相关要求进行修建：地面与裙脚要用坚固、防渗的材料建造，建筑材料必须与危险废物不相容；必须有泄漏液体收集装置、气体导出口及气体净化装置。</w:t>
            </w:r>
          </w:p>
          <w:p>
            <w:pPr>
              <w:pStyle w:val="47"/>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建设单位按照以上措施对产生的危废进行处置后，对环境基本不产生影响。</w:t>
            </w:r>
          </w:p>
          <w:p>
            <w:pPr>
              <w:pStyle w:val="47"/>
              <w:ind w:firstLine="482"/>
              <w:rPr>
                <w:b/>
                <w:bCs/>
                <w:color w:val="000000" w:themeColor="text1"/>
                <w:highlight w:val="none"/>
                <w14:textFill>
                  <w14:solidFill>
                    <w14:schemeClr w14:val="tx1"/>
                  </w14:solidFill>
                </w14:textFill>
              </w:rPr>
            </w:pPr>
            <w:r>
              <w:rPr>
                <w:rFonts w:ascii="TimesNewRomanPS-BoldMT" w:hAnsi="TimesNewRomanPS-BoldMT"/>
                <w:b/>
                <w:bCs/>
                <w:color w:val="000000" w:themeColor="text1"/>
                <w:highlight w:val="none"/>
                <w14:textFill>
                  <w14:solidFill>
                    <w14:schemeClr w14:val="tx1"/>
                  </w14:solidFill>
                </w14:textFill>
              </w:rPr>
              <w:t>2</w:t>
            </w:r>
            <w:r>
              <w:rPr>
                <w:rFonts w:hint="eastAsia"/>
                <w:b/>
                <w:bCs/>
                <w:color w:val="000000" w:themeColor="text1"/>
                <w:highlight w:val="none"/>
                <w14:textFill>
                  <w14:solidFill>
                    <w14:schemeClr w14:val="tx1"/>
                  </w14:solidFill>
                </w14:textFill>
              </w:rPr>
              <w:t>）生活污水</w:t>
            </w:r>
          </w:p>
          <w:p>
            <w:pPr>
              <w:pStyle w:val="47"/>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项目辐射工作人员产生的生活污水处理依托公司厂区的污水处理装置处理。</w:t>
            </w:r>
          </w:p>
          <w:p>
            <w:pPr>
              <w:pStyle w:val="47"/>
              <w:ind w:firstLine="0" w:firstLineChars="0"/>
              <w:rPr>
                <w:rFonts w:hint="default" w:ascii="Times New Roman" w:hAnsi="Times New Roman" w:cs="Times New Roman"/>
                <w:b/>
                <w:bCs/>
                <w:color w:val="auto"/>
              </w:rPr>
            </w:pPr>
            <w:r>
              <w:rPr>
                <w:rFonts w:hint="default" w:ascii="Times New Roman" w:hAnsi="Times New Roman" w:cs="Times New Roman"/>
                <w:b/>
                <w:bCs/>
                <w:color w:val="auto"/>
              </w:rPr>
              <w:t>11.5废气环境影响分析</w:t>
            </w:r>
          </w:p>
          <w:p>
            <w:pPr>
              <w:pStyle w:val="47"/>
              <w:rPr>
                <w:rFonts w:hint="default" w:ascii="Times New Roman" w:hAnsi="Times New Roman" w:cs="Times New Roman"/>
                <w:color w:val="auto"/>
              </w:rPr>
            </w:pPr>
            <w:r>
              <w:rPr>
                <w:rFonts w:hint="default" w:ascii="Times New Roman" w:hAnsi="Times New Roman" w:cs="Times New Roman"/>
                <w:color w:val="auto"/>
              </w:rPr>
              <w:t>在探伤作业时，X射线使空气电离产生少量臭氧（O</w:t>
            </w:r>
            <w:r>
              <w:rPr>
                <w:rFonts w:hint="default" w:ascii="Times New Roman" w:hAnsi="Times New Roman" w:cs="Times New Roman"/>
                <w:color w:val="auto"/>
                <w:vertAlign w:val="subscript"/>
              </w:rPr>
              <w:t>3</w:t>
            </w:r>
            <w:r>
              <w:rPr>
                <w:rFonts w:hint="default" w:ascii="Times New Roman" w:hAnsi="Times New Roman" w:cs="Times New Roman"/>
                <w:color w:val="auto"/>
              </w:rPr>
              <w:t>）和氮氧化物（主要为NO</w:t>
            </w:r>
            <w:r>
              <w:rPr>
                <w:rFonts w:hint="default" w:ascii="Times New Roman" w:hAnsi="Times New Roman" w:cs="Times New Roman"/>
                <w:color w:val="auto"/>
                <w:vertAlign w:val="subscript"/>
              </w:rPr>
              <w:t>2</w:t>
            </w:r>
            <w:r>
              <w:rPr>
                <w:rFonts w:hint="default" w:ascii="Times New Roman" w:hAnsi="Times New Roman" w:cs="Times New Roman"/>
                <w:color w:val="auto"/>
              </w:rPr>
              <w:t>），</w:t>
            </w:r>
            <w:r>
              <w:rPr>
                <w:rFonts w:hint="eastAsia" w:cs="Times New Roman"/>
                <w:color w:val="auto"/>
                <w:lang w:val="en-US" w:eastAsia="zh-CN"/>
              </w:rPr>
              <w:t>本项目</w:t>
            </w:r>
            <w:r>
              <w:rPr>
                <w:rFonts w:hint="default" w:ascii="Times New Roman" w:hAnsi="Times New Roman" w:cs="Times New Roman"/>
                <w:color w:val="auto"/>
              </w:rPr>
              <w:t>探伤室拟安装机械通风装置，</w:t>
            </w:r>
            <w:r>
              <w:rPr>
                <w:rFonts w:hint="eastAsia" w:cs="Times New Roman"/>
                <w:color w:val="auto"/>
                <w:lang w:val="en-US" w:eastAsia="zh-CN"/>
              </w:rPr>
              <w:t>风机风量为5000m</w:t>
            </w:r>
            <w:r>
              <w:rPr>
                <w:rFonts w:hint="eastAsia" w:cs="Times New Roman"/>
                <w:color w:val="auto"/>
                <w:vertAlign w:val="superscript"/>
                <w:lang w:val="en-US" w:eastAsia="zh-CN"/>
              </w:rPr>
              <w:t>3</w:t>
            </w:r>
            <w:r>
              <w:rPr>
                <w:rFonts w:hint="eastAsia" w:cs="Times New Roman"/>
                <w:color w:val="auto"/>
                <w:lang w:val="en-US" w:eastAsia="zh-CN"/>
              </w:rPr>
              <w:t>/h，根据厂房尺寸核算，通风系统可保障探伤室</w:t>
            </w:r>
            <w:r>
              <w:rPr>
                <w:rFonts w:hint="default" w:ascii="Times New Roman" w:hAnsi="Times New Roman" w:cs="Times New Roman"/>
                <w:color w:val="auto"/>
              </w:rPr>
              <w:t>每小时有效通风换气次数</w:t>
            </w:r>
            <w:r>
              <w:rPr>
                <w:rFonts w:hint="eastAsia" w:cs="Times New Roman"/>
                <w:color w:val="auto"/>
                <w:lang w:val="en-US" w:eastAsia="zh-CN"/>
              </w:rPr>
              <w:t>7</w:t>
            </w:r>
            <w:r>
              <w:rPr>
                <w:rFonts w:hint="default" w:ascii="Times New Roman" w:hAnsi="Times New Roman" w:cs="Times New Roman"/>
                <w:color w:val="auto"/>
              </w:rPr>
              <w:t>次</w:t>
            </w:r>
            <w:r>
              <w:rPr>
                <w:rFonts w:hint="eastAsia" w:ascii="Times New Roman" w:hAnsi="Times New Roman" w:cs="Times New Roman"/>
                <w:color w:val="auto"/>
                <w:lang w:eastAsia="zh-CN"/>
              </w:rPr>
              <w:t>，</w:t>
            </w:r>
            <w:r>
              <w:rPr>
                <w:rFonts w:hint="eastAsia" w:cs="Times New Roman"/>
                <w:color w:val="auto"/>
                <w:lang w:val="en-US" w:eastAsia="zh-CN"/>
              </w:rPr>
              <w:t>满足</w:t>
            </w:r>
            <w:r>
              <w:rPr>
                <w:rFonts w:hint="default" w:ascii="Times New Roman" w:hAnsi="Times New Roman" w:cs="Times New Roman"/>
                <w:color w:val="auto"/>
              </w:rPr>
              <w:t>《工业 X射线探伤放射防护要求》</w:t>
            </w:r>
            <w:r>
              <w:rPr>
                <w:rFonts w:hint="eastAsia" w:cs="Times New Roman"/>
                <w:color w:val="auto"/>
                <w:lang w:val="en-US" w:eastAsia="zh-CN"/>
              </w:rPr>
              <w:t>中不小于3次的要求</w:t>
            </w:r>
            <w:r>
              <w:rPr>
                <w:rFonts w:hint="default" w:ascii="Times New Roman" w:hAnsi="Times New Roman" w:cs="Times New Roman"/>
                <w:color w:val="auto"/>
              </w:rPr>
              <w:t>，探伤过程中产生的臭氧及氮氧化物自然扩散后对环境的影响较小。</w:t>
            </w:r>
          </w:p>
          <w:p>
            <w:pPr>
              <w:pStyle w:val="45"/>
              <w:spacing w:before="156" w:after="156"/>
              <w:rPr>
                <w:rFonts w:hint="default" w:ascii="Times New Roman" w:hAnsi="Times New Roman" w:cs="Times New Roman"/>
                <w:color w:val="auto"/>
              </w:rPr>
            </w:pPr>
            <w:r>
              <w:rPr>
                <w:rFonts w:hint="default" w:ascii="Times New Roman" w:hAnsi="Times New Roman" w:cs="Times New Roman"/>
                <w:color w:val="auto"/>
              </w:rPr>
              <w:t>11.6固废环境影响</w:t>
            </w:r>
          </w:p>
          <w:p>
            <w:pPr>
              <w:pStyle w:val="42"/>
              <w:rPr>
                <w:color w:val="000000" w:themeColor="text1"/>
                <w:kern w:val="0"/>
                <w:highlight w:val="none"/>
                <w14:textFill>
                  <w14:solidFill>
                    <w14:schemeClr w14:val="tx1"/>
                  </w14:solidFill>
                </w14:textFill>
              </w:rPr>
            </w:pPr>
            <w:r>
              <w:rPr>
                <w:rFonts w:ascii="TimesNewRomanPS-BoldMT" w:hAnsi="TimesNewRomanPS-BoldMT"/>
                <w:color w:val="000000" w:themeColor="text1"/>
                <w:kern w:val="0"/>
                <w:highlight w:val="none"/>
                <w14:textFill>
                  <w14:solidFill>
                    <w14:schemeClr w14:val="tx1"/>
                  </w14:solidFill>
                </w14:textFill>
              </w:rPr>
              <w:t>1</w:t>
            </w:r>
            <w:r>
              <w:rPr>
                <w:rFonts w:hint="eastAsia"/>
                <w:color w:val="000000" w:themeColor="text1"/>
                <w:kern w:val="0"/>
                <w:highlight w:val="none"/>
                <w14:textFill>
                  <w14:solidFill>
                    <w14:schemeClr w14:val="tx1"/>
                  </w14:solidFill>
                </w14:textFill>
              </w:rPr>
              <w:t>）废胶片</w:t>
            </w:r>
          </w:p>
          <w:p>
            <w:pPr>
              <w:pStyle w:val="47"/>
              <w:rPr>
                <w:color w:val="000000" w:themeColor="text1"/>
                <w:kern w:val="0"/>
                <w:highlight w:val="none"/>
                <w14:textFill>
                  <w14:solidFill>
                    <w14:schemeClr w14:val="tx1"/>
                  </w14:solidFill>
                </w14:textFill>
              </w:rPr>
            </w:pPr>
            <w:r>
              <w:rPr>
                <w:rFonts w:hint="eastAsia"/>
                <w:color w:val="000000" w:themeColor="text1"/>
                <w:kern w:val="0"/>
                <w:highlight w:val="none"/>
                <w14:textFill>
                  <w14:solidFill>
                    <w14:schemeClr w14:val="tx1"/>
                  </w14:solidFill>
                </w14:textFill>
              </w:rPr>
              <w:t>公司无损检测过程中产生的废胶片和存档到期的胶片属于危险废物，期交由有危废处理资质收集后统一处理。公司应建立危废台帐，记录危废产生量、处置量及去向，并按照危险废物五联单制度进行管理，保证不对外环境造成影响。</w:t>
            </w:r>
          </w:p>
          <w:p>
            <w:pPr>
              <w:pStyle w:val="42"/>
              <w:rPr>
                <w:color w:val="000000" w:themeColor="text1"/>
                <w:kern w:val="0"/>
                <w:highlight w:val="none"/>
                <w14:textFill>
                  <w14:solidFill>
                    <w14:schemeClr w14:val="tx1"/>
                  </w14:solidFill>
                </w14:textFill>
              </w:rPr>
            </w:pPr>
            <w:r>
              <w:rPr>
                <w:rFonts w:ascii="TimesNewRomanPS-BoldMT" w:hAnsi="TimesNewRomanPS-BoldMT"/>
                <w:color w:val="000000" w:themeColor="text1"/>
                <w:kern w:val="0"/>
                <w:highlight w:val="none"/>
                <w14:textFill>
                  <w14:solidFill>
                    <w14:schemeClr w14:val="tx1"/>
                  </w14:solidFill>
                </w14:textFill>
              </w:rPr>
              <w:t>2</w:t>
            </w:r>
            <w:r>
              <w:rPr>
                <w:rFonts w:hint="eastAsia"/>
                <w:color w:val="000000" w:themeColor="text1"/>
                <w:kern w:val="0"/>
                <w:highlight w:val="none"/>
                <w14:textFill>
                  <w14:solidFill>
                    <w14:schemeClr w14:val="tx1"/>
                  </w14:solidFill>
                </w14:textFill>
              </w:rPr>
              <w:t>）生活垃圾</w:t>
            </w:r>
          </w:p>
          <w:p>
            <w:pPr>
              <w:pStyle w:val="47"/>
              <w:rPr>
                <w:rFonts w:hint="default" w:ascii="Times New Roman" w:hAnsi="Times New Roman" w:cs="Times New Roman"/>
                <w:color w:val="auto"/>
                <w:kern w:val="0"/>
              </w:rPr>
            </w:pPr>
            <w:r>
              <w:rPr>
                <w:rFonts w:hint="eastAsia"/>
                <w:color w:val="000000" w:themeColor="text1"/>
                <w:kern w:val="0"/>
                <w:highlight w:val="none"/>
                <w14:textFill>
                  <w14:solidFill>
                    <w14:schemeClr w14:val="tx1"/>
                  </w14:solidFill>
                </w14:textFill>
              </w:rPr>
              <w:t>公司辐射工作人员产生的生活垃圾依托公司及厂区的垃圾桶收集，之后由环卫部门统一收集处理。</w:t>
            </w:r>
          </w:p>
          <w:p>
            <w:pPr>
              <w:pStyle w:val="45"/>
              <w:spacing w:before="156" w:after="156"/>
              <w:rPr>
                <w:rFonts w:hint="default" w:ascii="Times New Roman" w:hAnsi="Times New Roman" w:cs="Times New Roman"/>
                <w:color w:val="auto"/>
              </w:rPr>
            </w:pPr>
            <w:r>
              <w:rPr>
                <w:rFonts w:hint="default" w:ascii="Times New Roman" w:hAnsi="Times New Roman" w:cs="Times New Roman"/>
                <w:color w:val="auto"/>
              </w:rPr>
              <w:t>11.7选址合理性及平面布局合理性分析</w:t>
            </w:r>
          </w:p>
          <w:p>
            <w:pPr>
              <w:pStyle w:val="42"/>
              <w:rPr>
                <w:rFonts w:hint="default" w:ascii="Times New Roman" w:hAnsi="Times New Roman" w:cs="Times New Roman"/>
                <w:color w:val="auto"/>
              </w:rPr>
            </w:pPr>
            <w:r>
              <w:rPr>
                <w:rFonts w:hint="default" w:ascii="Times New Roman" w:hAnsi="Times New Roman" w:cs="Times New Roman"/>
                <w:color w:val="auto"/>
              </w:rPr>
              <w:t>11.7.1选址合理性分析</w:t>
            </w:r>
          </w:p>
          <w:p>
            <w:pPr>
              <w:pStyle w:val="47"/>
              <w:rPr>
                <w:rFonts w:hint="eastAsia" w:cs="Times New Roman"/>
                <w:color w:val="auto"/>
                <w:lang w:eastAsia="zh-CN"/>
              </w:rPr>
            </w:pPr>
            <w:r>
              <w:rPr>
                <w:rFonts w:hint="default" w:ascii="Times New Roman" w:hAnsi="Times New Roman" w:cs="Times New Roman"/>
                <w:color w:val="auto"/>
              </w:rPr>
              <w:t>按照《电离辐射防护与辐射源安全基本标准》（GB18871-2002）关于“源的选址与定位”规定，在确定装置和设施内的小型源的位置时，应考虑</w:t>
            </w:r>
            <w:r>
              <w:rPr>
                <w:rFonts w:hint="eastAsia" w:cs="Times New Roman"/>
                <w:color w:val="auto"/>
                <w:lang w:eastAsia="zh-CN"/>
              </w:rPr>
              <w:t>：</w:t>
            </w:r>
          </w:p>
          <w:p>
            <w:pPr>
              <w:pStyle w:val="47"/>
              <w:numPr>
                <w:ilvl w:val="0"/>
                <w:numId w:val="6"/>
              </w:numPr>
              <w:rPr>
                <w:rFonts w:hint="default" w:ascii="Times New Roman" w:hAnsi="Times New Roman" w:cs="Times New Roman"/>
                <w:color w:val="auto"/>
              </w:rPr>
            </w:pPr>
            <w:r>
              <w:rPr>
                <w:rFonts w:hint="default" w:ascii="Times New Roman" w:hAnsi="Times New Roman" w:cs="Times New Roman"/>
                <w:color w:val="auto"/>
              </w:rPr>
              <w:t>可能影响该源的安全和保安的因素；</w:t>
            </w:r>
          </w:p>
          <w:p>
            <w:pPr>
              <w:pStyle w:val="47"/>
              <w:numPr>
                <w:ilvl w:val="0"/>
                <w:numId w:val="6"/>
              </w:numPr>
              <w:rPr>
                <w:rFonts w:hint="default" w:ascii="Times New Roman" w:hAnsi="Times New Roman" w:cs="Times New Roman"/>
                <w:color w:val="auto"/>
              </w:rPr>
            </w:pPr>
            <w:r>
              <w:rPr>
                <w:rFonts w:hint="default" w:ascii="Times New Roman" w:hAnsi="Times New Roman" w:cs="Times New Roman"/>
                <w:color w:val="auto"/>
              </w:rPr>
              <w:t>可能影响该源引起职业照射和公众照射的因素，包括诸如通风、屏蔽、距人员活动区的距离等；</w:t>
            </w:r>
          </w:p>
          <w:p>
            <w:pPr>
              <w:pStyle w:val="47"/>
              <w:numPr>
                <w:ilvl w:val="0"/>
                <w:numId w:val="6"/>
              </w:numPr>
              <w:rPr>
                <w:rFonts w:hint="default" w:ascii="Times New Roman" w:hAnsi="Times New Roman" w:cs="Times New Roman"/>
                <w:color w:val="auto"/>
              </w:rPr>
            </w:pPr>
            <w:r>
              <w:rPr>
                <w:rFonts w:hint="default" w:ascii="Times New Roman" w:hAnsi="Times New Roman" w:cs="Times New Roman"/>
                <w:color w:val="auto"/>
              </w:rPr>
              <w:t>考虑了上述因素后工程设计上的可行性。</w:t>
            </w:r>
          </w:p>
          <w:p>
            <w:pPr>
              <w:pStyle w:val="47"/>
              <w:rPr>
                <w:rFonts w:hint="default" w:ascii="Times New Roman" w:hAnsi="Times New Roman" w:eastAsia="宋体" w:cs="Times New Roman"/>
                <w:color w:val="auto"/>
                <w:lang w:val="en-US" w:eastAsia="zh-CN"/>
              </w:rPr>
            </w:pPr>
            <w:r>
              <w:rPr>
                <w:rFonts w:hint="eastAsia" w:cs="Times New Roman"/>
                <w:color w:val="auto"/>
                <w:lang w:val="en-US" w:eastAsia="zh-CN"/>
              </w:rPr>
              <w:t>本</w:t>
            </w:r>
            <w:r>
              <w:rPr>
                <w:rFonts w:hint="default" w:ascii="Times New Roman" w:hAnsi="Times New Roman" w:cs="Times New Roman"/>
                <w:color w:val="auto"/>
              </w:rPr>
              <w:t>项目在企业现有场地内进行建设，场地现状稳定性好</w:t>
            </w:r>
            <w:r>
              <w:rPr>
                <w:rFonts w:hint="eastAsia" w:cs="Times New Roman"/>
                <w:color w:val="auto"/>
                <w:lang w:eastAsia="zh-CN"/>
              </w:rPr>
              <w:t>；</w:t>
            </w:r>
            <w:r>
              <w:rPr>
                <w:rFonts w:hint="default" w:ascii="Times New Roman" w:hAnsi="Times New Roman" w:cs="Times New Roman"/>
                <w:color w:val="auto"/>
              </w:rPr>
              <w:t>根据现状监测结果，场址的辐射环境质量状况良好</w:t>
            </w:r>
            <w:r>
              <w:rPr>
                <w:rFonts w:hint="eastAsia" w:cs="Times New Roman"/>
                <w:color w:val="auto"/>
                <w:lang w:eastAsia="zh-CN"/>
              </w:rPr>
              <w:t>；</w:t>
            </w:r>
            <w:r>
              <w:rPr>
                <w:rFonts w:hint="default" w:ascii="Times New Roman" w:hAnsi="Times New Roman" w:cs="Times New Roman"/>
                <w:color w:val="auto"/>
              </w:rPr>
              <w:t>建设单位</w:t>
            </w:r>
            <w:r>
              <w:rPr>
                <w:rFonts w:hint="eastAsia" w:cs="Times New Roman"/>
                <w:color w:val="auto"/>
                <w:lang w:val="en-US" w:eastAsia="zh-CN"/>
              </w:rPr>
              <w:t>严格按照设计方案和</w:t>
            </w:r>
            <w:r>
              <w:rPr>
                <w:rFonts w:hint="default" w:ascii="Times New Roman" w:hAnsi="Times New Roman" w:cs="Times New Roman"/>
                <w:color w:val="auto"/>
              </w:rPr>
              <w:t>环评要求进行建设，</w:t>
            </w:r>
            <w:r>
              <w:rPr>
                <w:rFonts w:hint="eastAsia" w:cs="Times New Roman"/>
                <w:color w:val="auto"/>
                <w:lang w:val="en-US" w:eastAsia="zh-CN"/>
              </w:rPr>
              <w:t>探伤室的辐射屏蔽、通风措施满足满足《工业X射线探伤放射防护要求》（GBZ117－2015）、《工业X射线探伤室辐射屏蔽规范》（GBZ/T250-2014）等相关法规的要求，根据剂量估算，项目运行</w:t>
            </w:r>
            <w:r>
              <w:rPr>
                <w:rFonts w:hint="default" w:ascii="Times New Roman" w:hAnsi="Times New Roman" w:cs="Times New Roman"/>
                <w:color w:val="auto"/>
              </w:rPr>
              <w:t>对</w:t>
            </w:r>
            <w:r>
              <w:rPr>
                <w:rFonts w:hint="eastAsia" w:cs="Times New Roman"/>
                <w:color w:val="auto"/>
                <w:lang w:val="en-US" w:eastAsia="zh-CN"/>
              </w:rPr>
              <w:t>工作人员及周边公众</w:t>
            </w:r>
            <w:r>
              <w:rPr>
                <w:rFonts w:hint="default" w:ascii="Times New Roman" w:hAnsi="Times New Roman" w:cs="Times New Roman"/>
                <w:color w:val="auto"/>
              </w:rPr>
              <w:t>的</w:t>
            </w:r>
            <w:r>
              <w:rPr>
                <w:rFonts w:hint="eastAsia" w:cs="Times New Roman"/>
                <w:color w:val="auto"/>
                <w:lang w:val="en-US" w:eastAsia="zh-CN"/>
              </w:rPr>
              <w:t>影响也满足《电离辐射防护与辐射源安全基本标准》（GB18871－2002）的规定限值和企业的管理目标值。</w:t>
            </w:r>
          </w:p>
          <w:p>
            <w:pPr>
              <w:pStyle w:val="47"/>
              <w:rPr>
                <w:rFonts w:hint="default" w:ascii="Times New Roman" w:hAnsi="Times New Roman" w:cs="Times New Roman"/>
                <w:color w:val="auto"/>
              </w:rPr>
            </w:pPr>
            <w:r>
              <w:rPr>
                <w:rFonts w:hint="default" w:ascii="Times New Roman" w:hAnsi="Times New Roman" w:cs="Times New Roman"/>
                <w:color w:val="auto"/>
              </w:rPr>
              <w:t>综上所述</w:t>
            </w:r>
            <w:r>
              <w:rPr>
                <w:rFonts w:hint="eastAsia" w:cs="Times New Roman"/>
                <w:color w:val="auto"/>
                <w:lang w:eastAsia="zh-CN"/>
              </w:rPr>
              <w:t>，</w:t>
            </w:r>
            <w:r>
              <w:rPr>
                <w:rFonts w:hint="default" w:ascii="Times New Roman" w:hAnsi="Times New Roman" w:cs="Times New Roman"/>
                <w:color w:val="auto"/>
              </w:rPr>
              <w:t>从环保角度来看该项目的选址是合理可行的。</w:t>
            </w:r>
          </w:p>
          <w:p>
            <w:pPr>
              <w:pStyle w:val="42"/>
              <w:rPr>
                <w:rFonts w:hint="default" w:ascii="Times New Roman" w:hAnsi="Times New Roman" w:cs="Times New Roman"/>
                <w:color w:val="auto"/>
              </w:rPr>
            </w:pPr>
            <w:r>
              <w:rPr>
                <w:rFonts w:hint="default" w:ascii="Times New Roman" w:hAnsi="Times New Roman" w:cs="Times New Roman"/>
                <w:color w:val="auto"/>
              </w:rPr>
              <w:t>11.7.2布局合理性分析</w:t>
            </w:r>
          </w:p>
          <w:p>
            <w:pPr>
              <w:pStyle w:val="47"/>
              <w:rPr>
                <w:rFonts w:hint="default" w:ascii="Times New Roman" w:hAnsi="Times New Roman" w:cs="Times New Roman"/>
                <w:color w:val="auto"/>
                <w:kern w:val="0"/>
              </w:rPr>
            </w:pPr>
            <w:r>
              <w:rPr>
                <w:rFonts w:hint="default" w:ascii="Times New Roman" w:hAnsi="Times New Roman" w:cs="Times New Roman"/>
                <w:color w:val="auto"/>
                <w:kern w:val="0"/>
              </w:rPr>
              <w:t>本项目探伤室</w:t>
            </w:r>
            <w:r>
              <w:rPr>
                <w:rFonts w:hint="eastAsia" w:cs="Times New Roman"/>
                <w:color w:val="auto"/>
                <w:kern w:val="0"/>
                <w:lang w:val="en-US" w:eastAsia="zh-CN"/>
              </w:rPr>
              <w:t>位于</w:t>
            </w:r>
            <w:r>
              <w:rPr>
                <w:rFonts w:hint="default" w:ascii="Times New Roman" w:hAnsi="Times New Roman" w:cs="Times New Roman"/>
                <w:color w:val="auto"/>
                <w:kern w:val="0"/>
              </w:rPr>
              <w:t>厂区</w:t>
            </w:r>
            <w:r>
              <w:rPr>
                <w:rFonts w:hint="eastAsia" w:cs="Times New Roman"/>
                <w:color w:val="auto"/>
                <w:kern w:val="0"/>
                <w:lang w:val="en-US" w:eastAsia="zh-CN"/>
              </w:rPr>
              <w:t>北</w:t>
            </w:r>
            <w:r>
              <w:rPr>
                <w:rFonts w:hint="default" w:ascii="Times New Roman" w:hAnsi="Times New Roman" w:cs="Times New Roman"/>
                <w:color w:val="auto"/>
                <w:kern w:val="0"/>
              </w:rPr>
              <w:t>侧。探伤机主射方向朝</w:t>
            </w:r>
            <w:r>
              <w:rPr>
                <w:rFonts w:hint="eastAsia" w:cs="Times New Roman"/>
                <w:color w:val="auto"/>
                <w:kern w:val="0"/>
                <w:lang w:val="en-US" w:eastAsia="zh-CN"/>
              </w:rPr>
              <w:t>北</w:t>
            </w:r>
            <w:r>
              <w:rPr>
                <w:rFonts w:hint="default" w:ascii="Times New Roman" w:hAnsi="Times New Roman" w:cs="Times New Roman"/>
                <w:color w:val="auto"/>
                <w:kern w:val="0"/>
              </w:rPr>
              <w:t>，控制室位于探伤室南侧，探伤室工件</w:t>
            </w:r>
            <w:r>
              <w:rPr>
                <w:rFonts w:hint="eastAsia" w:cs="Times New Roman"/>
                <w:color w:val="auto"/>
                <w:kern w:val="0"/>
                <w:lang w:val="en-US" w:eastAsia="zh-CN"/>
              </w:rPr>
              <w:t>出</w:t>
            </w:r>
            <w:r>
              <w:rPr>
                <w:rFonts w:hint="default" w:ascii="Times New Roman" w:hAnsi="Times New Roman" w:cs="Times New Roman"/>
                <w:color w:val="auto"/>
                <w:kern w:val="0"/>
              </w:rPr>
              <w:t>入口位于探伤室</w:t>
            </w:r>
            <w:r>
              <w:rPr>
                <w:rFonts w:hint="eastAsia" w:cs="Times New Roman"/>
                <w:color w:val="auto"/>
                <w:kern w:val="0"/>
                <w:lang w:val="en-US" w:eastAsia="zh-CN"/>
              </w:rPr>
              <w:t>西</w:t>
            </w:r>
            <w:r>
              <w:rPr>
                <w:rFonts w:hint="default" w:ascii="Times New Roman" w:hAnsi="Times New Roman" w:cs="Times New Roman"/>
                <w:color w:val="auto"/>
                <w:kern w:val="0"/>
              </w:rPr>
              <w:t>侧，</w:t>
            </w:r>
            <w:r>
              <w:rPr>
                <w:rFonts w:hint="eastAsia" w:cs="Times New Roman"/>
                <w:color w:val="auto"/>
                <w:kern w:val="0"/>
                <w:lang w:val="en-US" w:eastAsia="zh-CN"/>
              </w:rPr>
              <w:t>与车间大门相接，便于工件进出</w:t>
            </w:r>
            <w:r>
              <w:rPr>
                <w:rFonts w:hint="default" w:ascii="Times New Roman" w:hAnsi="Times New Roman" w:cs="Times New Roman"/>
                <w:color w:val="auto"/>
                <w:kern w:val="0"/>
              </w:rPr>
              <w:t>，从布局上减少了电离辐射对其他工作人员的影响。因此，本公司X射线探伤项目平面布局合理。</w:t>
            </w:r>
          </w:p>
          <w:p>
            <w:pPr>
              <w:pStyle w:val="45"/>
              <w:spacing w:before="156" w:after="156"/>
              <w:rPr>
                <w:rFonts w:hint="default" w:ascii="Times New Roman" w:hAnsi="Times New Roman" w:cs="Times New Roman"/>
                <w:color w:val="auto"/>
                <w:kern w:val="0"/>
              </w:rPr>
            </w:pPr>
            <w:r>
              <w:rPr>
                <w:rFonts w:hint="default" w:ascii="Times New Roman" w:hAnsi="Times New Roman" w:cs="Times New Roman"/>
                <w:color w:val="auto"/>
                <w:kern w:val="0"/>
              </w:rPr>
              <w:t>11.8事故影响分析</w:t>
            </w:r>
          </w:p>
          <w:p>
            <w:pPr>
              <w:pStyle w:val="47"/>
              <w:rPr>
                <w:rFonts w:hint="default" w:ascii="Times New Roman" w:hAnsi="Times New Roman" w:cs="Times New Roman"/>
                <w:color w:val="auto"/>
                <w:kern w:val="0"/>
              </w:rPr>
            </w:pPr>
            <w:r>
              <w:rPr>
                <w:rFonts w:hint="default" w:ascii="Times New Roman" w:hAnsi="Times New Roman" w:cs="Times New Roman"/>
                <w:color w:val="auto"/>
                <w:kern w:val="0"/>
              </w:rPr>
              <w:t>探伤作业过程因为操作不当或设备故障灯原因将会产生不同的事故，企业应按照各种规章制度的要求，严防各种事故的发生。</w:t>
            </w:r>
          </w:p>
          <w:p>
            <w:pPr>
              <w:pStyle w:val="42"/>
              <w:rPr>
                <w:rFonts w:hint="default" w:ascii="Times New Roman" w:hAnsi="Times New Roman" w:cs="Times New Roman"/>
                <w:color w:val="auto"/>
                <w:kern w:val="0"/>
              </w:rPr>
            </w:pPr>
            <w:r>
              <w:rPr>
                <w:rFonts w:hint="default" w:ascii="Times New Roman" w:hAnsi="Times New Roman" w:cs="Times New Roman"/>
                <w:color w:val="auto"/>
                <w:kern w:val="0"/>
              </w:rPr>
              <w:t>11.8.1事故风险等级</w:t>
            </w:r>
          </w:p>
          <w:p>
            <w:pPr>
              <w:pStyle w:val="47"/>
              <w:rPr>
                <w:rFonts w:hint="default" w:ascii="Times New Roman" w:hAnsi="Times New Roman" w:cs="Times New Roman"/>
                <w:color w:val="auto"/>
              </w:rPr>
            </w:pPr>
            <w:r>
              <w:rPr>
                <w:rFonts w:hint="default" w:ascii="Times New Roman" w:hAnsi="Times New Roman" w:cs="Times New Roman"/>
                <w:color w:val="auto"/>
                <w:kern w:val="0"/>
              </w:rPr>
              <w:t>当发生事故后，应按照应急预案的要求进行补救，加强应急响应准备和事故应急演练，根据《放射源同位素与射线装置安全和防护条例》(国务院709号令)，辐射事故从重到轻分为特别重大辐射事故、重大辐射事故、较大辐射事故和一般辐射事故四个等级，见下表</w:t>
            </w:r>
          </w:p>
          <w:p>
            <w:pPr>
              <w:pStyle w:val="49"/>
              <w:rPr>
                <w:rFonts w:hint="default" w:ascii="Times New Roman" w:hAnsi="Times New Roman" w:cs="Times New Roman"/>
                <w:color w:val="auto"/>
              </w:rPr>
            </w:pPr>
            <w:r>
              <w:rPr>
                <w:rFonts w:hint="default" w:ascii="Times New Roman" w:hAnsi="Times New Roman" w:cs="Times New Roman"/>
                <w:color w:val="auto"/>
              </w:rPr>
              <w:t>表11-8辐射事故等级分级一览表</w:t>
            </w: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05"/>
              <w:gridCol w:w="58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noWrap w:val="0"/>
                  <w:vAlign w:val="center"/>
                </w:tcPr>
                <w:p>
                  <w:pPr>
                    <w:pStyle w:val="53"/>
                    <w:rPr>
                      <w:rFonts w:hint="default" w:ascii="Times New Roman" w:hAnsi="Times New Roman" w:cs="Times New Roman"/>
                      <w:color w:val="auto"/>
                    </w:rPr>
                  </w:pPr>
                  <w:r>
                    <w:rPr>
                      <w:rFonts w:hint="default" w:ascii="Times New Roman" w:hAnsi="Times New Roman" w:cs="Times New Roman"/>
                      <w:color w:val="auto"/>
                    </w:rPr>
                    <w:t>事故等级</w:t>
                  </w:r>
                </w:p>
              </w:tc>
              <w:tc>
                <w:tcPr>
                  <w:tcW w:w="5890" w:type="dxa"/>
                  <w:noWrap w:val="0"/>
                  <w:vAlign w:val="center"/>
                </w:tcPr>
                <w:p>
                  <w:pPr>
                    <w:pStyle w:val="53"/>
                    <w:rPr>
                      <w:rFonts w:hint="default" w:ascii="Times New Roman" w:hAnsi="Times New Roman" w:cs="Times New Roman"/>
                      <w:color w:val="auto"/>
                    </w:rPr>
                  </w:pPr>
                  <w:r>
                    <w:rPr>
                      <w:rFonts w:hint="default" w:ascii="Times New Roman" w:hAnsi="Times New Roman" w:cs="Times New Roman"/>
                      <w:color w:val="auto"/>
                    </w:rPr>
                    <w:t>危害结果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noWrap w:val="0"/>
                  <w:vAlign w:val="center"/>
                </w:tcPr>
                <w:p>
                  <w:pPr>
                    <w:pStyle w:val="53"/>
                    <w:rPr>
                      <w:rFonts w:hint="default" w:ascii="Times New Roman" w:hAnsi="Times New Roman" w:cs="Times New Roman"/>
                      <w:color w:val="auto"/>
                    </w:rPr>
                  </w:pPr>
                  <w:r>
                    <w:rPr>
                      <w:rFonts w:hint="default" w:ascii="Times New Roman" w:hAnsi="Times New Roman" w:cs="Times New Roman"/>
                      <w:color w:val="auto"/>
                    </w:rPr>
                    <w:t>特别重大辐射事故</w:t>
                  </w:r>
                </w:p>
              </w:tc>
              <w:tc>
                <w:tcPr>
                  <w:tcW w:w="5890" w:type="dxa"/>
                  <w:noWrap w:val="0"/>
                  <w:vAlign w:val="center"/>
                </w:tcPr>
                <w:p>
                  <w:pPr>
                    <w:pStyle w:val="53"/>
                    <w:rPr>
                      <w:rFonts w:hint="default" w:ascii="Times New Roman" w:hAnsi="Times New Roman" w:cs="Times New Roman"/>
                      <w:color w:val="auto"/>
                    </w:rPr>
                  </w:pPr>
                  <w:r>
                    <w:rPr>
                      <w:rFonts w:hint="default" w:ascii="Times New Roman" w:hAnsi="Times New Roman" w:cs="Times New Roman"/>
                      <w:color w:val="auto"/>
                    </w:rPr>
                    <w:t>射线装置失控导致3人以上（含3人）急性死亡。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noWrap w:val="0"/>
                  <w:vAlign w:val="center"/>
                </w:tcPr>
                <w:p>
                  <w:pPr>
                    <w:pStyle w:val="53"/>
                    <w:rPr>
                      <w:rFonts w:hint="default" w:ascii="Times New Roman" w:hAnsi="Times New Roman" w:cs="Times New Roman"/>
                      <w:color w:val="auto"/>
                    </w:rPr>
                  </w:pPr>
                  <w:r>
                    <w:rPr>
                      <w:rFonts w:hint="default" w:ascii="Times New Roman" w:hAnsi="Times New Roman" w:cs="Times New Roman"/>
                      <w:color w:val="auto"/>
                    </w:rPr>
                    <w:t>重大辐射事故</w:t>
                  </w:r>
                </w:p>
              </w:tc>
              <w:tc>
                <w:tcPr>
                  <w:tcW w:w="5890" w:type="dxa"/>
                  <w:noWrap w:val="0"/>
                  <w:vAlign w:val="center"/>
                </w:tcPr>
                <w:p>
                  <w:pPr>
                    <w:pStyle w:val="53"/>
                    <w:rPr>
                      <w:rFonts w:hint="default" w:ascii="Times New Roman" w:hAnsi="Times New Roman" w:cs="Times New Roman"/>
                      <w:color w:val="auto"/>
                    </w:rPr>
                  </w:pPr>
                  <w:r>
                    <w:rPr>
                      <w:rFonts w:hint="default" w:ascii="Times New Roman" w:hAnsi="Times New Roman" w:cs="Times New Roman"/>
                      <w:color w:val="auto"/>
                      <w:kern w:val="0"/>
                    </w:rPr>
                    <w:t>射线装置失控导致2人以下（含2人）急性死亡或者10人以上（含10人）急性重度放射病、局部器官残疾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405" w:type="dxa"/>
                  <w:noWrap w:val="0"/>
                  <w:vAlign w:val="center"/>
                </w:tcPr>
                <w:p>
                  <w:pPr>
                    <w:pStyle w:val="53"/>
                    <w:rPr>
                      <w:rFonts w:hint="default" w:ascii="Times New Roman" w:hAnsi="Times New Roman" w:cs="Times New Roman"/>
                      <w:color w:val="auto"/>
                    </w:rPr>
                  </w:pPr>
                  <w:r>
                    <w:rPr>
                      <w:rFonts w:hint="default" w:ascii="Times New Roman" w:hAnsi="Times New Roman" w:cs="Times New Roman"/>
                      <w:color w:val="auto"/>
                    </w:rPr>
                    <w:t>较大辐射事故</w:t>
                  </w:r>
                </w:p>
              </w:tc>
              <w:tc>
                <w:tcPr>
                  <w:tcW w:w="5890" w:type="dxa"/>
                  <w:noWrap w:val="0"/>
                  <w:vAlign w:val="center"/>
                </w:tcPr>
                <w:p>
                  <w:pPr>
                    <w:pStyle w:val="53"/>
                    <w:rPr>
                      <w:rFonts w:hint="default" w:ascii="Times New Roman" w:hAnsi="Times New Roman" w:cs="Times New Roman"/>
                      <w:color w:val="auto"/>
                    </w:rPr>
                  </w:pPr>
                  <w:r>
                    <w:rPr>
                      <w:rFonts w:hint="default" w:ascii="Times New Roman" w:hAnsi="Times New Roman" w:cs="Times New Roman"/>
                      <w:color w:val="auto"/>
                    </w:rPr>
                    <w:t>射线装置失控导致9人以下（含9人）急性重度放射病、局部器官残疾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noWrap w:val="0"/>
                  <w:vAlign w:val="center"/>
                </w:tcPr>
                <w:p>
                  <w:pPr>
                    <w:pStyle w:val="53"/>
                    <w:rPr>
                      <w:rFonts w:hint="default" w:ascii="Times New Roman" w:hAnsi="Times New Roman" w:cs="Times New Roman"/>
                      <w:color w:val="auto"/>
                    </w:rPr>
                  </w:pPr>
                  <w:r>
                    <w:rPr>
                      <w:rFonts w:hint="default" w:ascii="Times New Roman" w:hAnsi="Times New Roman" w:cs="Times New Roman"/>
                      <w:color w:val="auto"/>
                    </w:rPr>
                    <w:t>一般辐射事故</w:t>
                  </w:r>
                </w:p>
              </w:tc>
              <w:tc>
                <w:tcPr>
                  <w:tcW w:w="5890" w:type="dxa"/>
                  <w:noWrap w:val="0"/>
                  <w:vAlign w:val="center"/>
                </w:tcPr>
                <w:p>
                  <w:pPr>
                    <w:pStyle w:val="53"/>
                    <w:rPr>
                      <w:rFonts w:hint="default" w:ascii="Times New Roman" w:hAnsi="Times New Roman" w:cs="Times New Roman"/>
                      <w:color w:val="auto"/>
                    </w:rPr>
                  </w:pPr>
                  <w:r>
                    <w:rPr>
                      <w:rFonts w:hint="default" w:ascii="Times New Roman" w:hAnsi="Times New Roman" w:cs="Times New Roman"/>
                      <w:color w:val="auto"/>
                    </w:rPr>
                    <w:t>射线装置失控导致人员受到超过年剂量限值的照射</w:t>
                  </w:r>
                </w:p>
              </w:tc>
            </w:tr>
          </w:tbl>
          <w:p>
            <w:pPr>
              <w:pStyle w:val="42"/>
              <w:rPr>
                <w:rFonts w:hint="default" w:ascii="Times New Roman" w:hAnsi="Times New Roman" w:cs="Times New Roman"/>
                <w:color w:val="auto"/>
              </w:rPr>
            </w:pPr>
            <w:r>
              <w:rPr>
                <w:rFonts w:hint="default" w:ascii="Times New Roman" w:hAnsi="Times New Roman" w:cs="Times New Roman"/>
                <w:color w:val="auto"/>
              </w:rPr>
              <w:t>11.8.2辐射潜在事故风险及预防处理措施</w:t>
            </w:r>
          </w:p>
          <w:p>
            <w:pPr>
              <w:pStyle w:val="47"/>
              <w:rPr>
                <w:rFonts w:hint="default" w:ascii="Times New Roman" w:hAnsi="Times New Roman" w:cs="Times New Roman"/>
                <w:color w:val="auto"/>
              </w:rPr>
            </w:pPr>
            <w:r>
              <w:rPr>
                <w:rFonts w:hint="default" w:ascii="Times New Roman" w:hAnsi="Times New Roman" w:cs="Times New Roman"/>
                <w:color w:val="auto"/>
                <w:kern w:val="0"/>
              </w:rPr>
              <w:t>X射线受开机和关机控制，关机时没有射线发出。因此，断电状态下较为安全。在意外情况下，可能出现的辐射事故（事件）如下：</w:t>
            </w:r>
          </w:p>
          <w:p>
            <w:pPr>
              <w:pStyle w:val="42"/>
              <w:rPr>
                <w:rFonts w:hint="default" w:ascii="Times New Roman" w:hAnsi="Times New Roman" w:cs="Times New Roman"/>
                <w:color w:val="auto"/>
                <w:kern w:val="0"/>
              </w:rPr>
            </w:pPr>
            <w:r>
              <w:rPr>
                <w:rFonts w:hint="default" w:ascii="Times New Roman" w:hAnsi="Times New Roman" w:cs="Times New Roman"/>
                <w:color w:val="auto"/>
                <w:kern w:val="0"/>
              </w:rPr>
              <w:t>（1）丧失屏蔽</w:t>
            </w:r>
          </w:p>
          <w:p>
            <w:pPr>
              <w:pStyle w:val="47"/>
              <w:rPr>
                <w:rFonts w:hint="default" w:ascii="Times New Roman" w:hAnsi="Times New Roman" w:cs="Times New Roman"/>
                <w:color w:val="auto"/>
                <w:kern w:val="0"/>
              </w:rPr>
            </w:pPr>
            <w:r>
              <w:rPr>
                <w:rFonts w:hint="default" w:ascii="Times New Roman" w:hAnsi="Times New Roman" w:cs="Times New Roman"/>
                <w:color w:val="auto"/>
                <w:kern w:val="0"/>
              </w:rPr>
              <w:t>原因分析：X射线探伤机机头是用重金属屏蔽包围住的，因各种原因（如检修、调试、改变照射角度等）可能无意中将探伤机的屏蔽块、机架上的屏蔽物等移走，或随意加大照射野，使设备丧失自身屏蔽作用，导致相邻的屏蔽墙外出现高剂量率，人员受到不必要的照射。</w:t>
            </w:r>
          </w:p>
          <w:p>
            <w:pPr>
              <w:pStyle w:val="47"/>
              <w:rPr>
                <w:rFonts w:hint="default" w:ascii="Times New Roman" w:hAnsi="Times New Roman" w:cs="Times New Roman"/>
                <w:color w:val="auto"/>
              </w:rPr>
            </w:pPr>
            <w:r>
              <w:rPr>
                <w:rFonts w:hint="default" w:ascii="Times New Roman" w:hAnsi="Times New Roman" w:cs="Times New Roman"/>
                <w:color w:val="auto"/>
                <w:kern w:val="0"/>
              </w:rPr>
              <w:t>安全措施：检修、调试应由专业技术人员进行，绝不允许随便拆走探伤机及机架上的屏蔽材料，不允许加大照射面积。完好的剂量探测器和剂量报警仪，连锁装置等，可提供纵深防御。X射线探伤室的防护屏蔽结构，包括探伤室蔽墙和铅防护门。</w:t>
            </w:r>
            <w:r>
              <w:rPr>
                <w:rFonts w:hint="default" w:ascii="Times New Roman" w:hAnsi="Times New Roman" w:cs="Times New Roman"/>
                <w:color w:val="auto"/>
              </w:rPr>
              <w:t>不得擅自改变、削弱、或破坏防护屏蔽结构，如开孔洞、挖沟、取土等。</w:t>
            </w:r>
          </w:p>
          <w:p>
            <w:pPr>
              <w:pStyle w:val="47"/>
              <w:rPr>
                <w:rStyle w:val="41"/>
                <w:rFonts w:hint="default" w:ascii="Times New Roman" w:hAnsi="Times New Roman" w:cs="Times New Roman"/>
                <w:color w:val="auto"/>
              </w:rPr>
            </w:pPr>
            <w:r>
              <w:rPr>
                <w:rFonts w:hint="default" w:ascii="Times New Roman" w:hAnsi="Times New Roman" w:cs="Times New Roman"/>
                <w:color w:val="auto"/>
                <w:kern w:val="0"/>
              </w:rPr>
              <w:t>（</w:t>
            </w:r>
            <w:r>
              <w:rPr>
                <w:rStyle w:val="41"/>
                <w:rFonts w:hint="default" w:ascii="Times New Roman" w:hAnsi="Times New Roman" w:cs="Times New Roman"/>
                <w:color w:val="auto"/>
              </w:rPr>
              <w:t>2）人员滞留在探伤室内</w:t>
            </w:r>
          </w:p>
          <w:p>
            <w:pPr>
              <w:pStyle w:val="47"/>
              <w:rPr>
                <w:rFonts w:hint="default" w:ascii="Times New Roman" w:hAnsi="Times New Roman" w:cs="Times New Roman"/>
                <w:color w:val="auto"/>
                <w:kern w:val="0"/>
              </w:rPr>
            </w:pPr>
            <w:r>
              <w:rPr>
                <w:rFonts w:hint="default" w:ascii="Times New Roman" w:hAnsi="Times New Roman" w:cs="Times New Roman"/>
                <w:color w:val="auto"/>
                <w:kern w:val="0"/>
              </w:rPr>
              <w:t>原因分析：工作人员进入探伤室后未全部撤离，仍有人滞留在探伤室内，在开机前，未完全充分搜寻，从而意外地留了下来，因此受到大剂量照射。</w:t>
            </w:r>
          </w:p>
          <w:p>
            <w:pPr>
              <w:pStyle w:val="47"/>
              <w:rPr>
                <w:rFonts w:hint="default" w:ascii="Times New Roman" w:hAnsi="Times New Roman" w:cs="Times New Roman"/>
                <w:color w:val="auto"/>
              </w:rPr>
            </w:pPr>
            <w:r>
              <w:rPr>
                <w:rFonts w:hint="default" w:ascii="Times New Roman" w:hAnsi="Times New Roman" w:cs="Times New Roman"/>
                <w:color w:val="auto"/>
                <w:kern w:val="0"/>
              </w:rPr>
              <w:t>安全措施：撤离探伤室时应清点人数，辐射工作人员用摄像头对探伤室内进行扫视，按搜寻程序进行查找，确认无人停留后开始进行操作。如遇人员滞留探伤室内，滞留人员应立即按下急停按钮，停止照射，如已受到大剂量照射，应立即送往医院就医。</w:t>
            </w:r>
          </w:p>
          <w:p>
            <w:pPr>
              <w:pStyle w:val="42"/>
              <w:rPr>
                <w:rFonts w:hint="default" w:ascii="Times New Roman" w:hAnsi="Times New Roman" w:cs="Times New Roman"/>
                <w:color w:val="auto"/>
                <w:kern w:val="0"/>
              </w:rPr>
            </w:pPr>
            <w:r>
              <w:rPr>
                <w:rFonts w:hint="default" w:ascii="Times New Roman" w:hAnsi="Times New Roman" w:cs="Times New Roman"/>
                <w:color w:val="auto"/>
                <w:kern w:val="0"/>
              </w:rPr>
              <w:t>（3）联锁装置失效</w:t>
            </w:r>
          </w:p>
          <w:p>
            <w:pPr>
              <w:pStyle w:val="47"/>
              <w:rPr>
                <w:rFonts w:hint="default" w:ascii="Times New Roman" w:hAnsi="Times New Roman" w:cs="Times New Roman"/>
                <w:color w:val="auto"/>
                <w:kern w:val="0"/>
              </w:rPr>
            </w:pPr>
            <w:r>
              <w:rPr>
                <w:rFonts w:hint="default" w:ascii="Times New Roman" w:hAnsi="Times New Roman" w:cs="Times New Roman"/>
                <w:color w:val="auto"/>
                <w:kern w:val="0"/>
              </w:rPr>
              <w:t>原因分析：由于连锁装置失效，防护门未关闭或探伤机工作时门被开启，射线仍然能发射，造成射线外泄，可能对工作人员及公众成员产生较大剂量照射。</w:t>
            </w:r>
          </w:p>
          <w:p>
            <w:pPr>
              <w:pStyle w:val="47"/>
              <w:rPr>
                <w:rFonts w:hint="default" w:ascii="Times New Roman" w:hAnsi="Times New Roman" w:cs="Times New Roman"/>
                <w:color w:val="auto"/>
                <w:kern w:val="0"/>
              </w:rPr>
            </w:pPr>
            <w:r>
              <w:rPr>
                <w:rFonts w:hint="default" w:ascii="Times New Roman" w:hAnsi="Times New Roman" w:cs="Times New Roman"/>
                <w:color w:val="auto"/>
                <w:kern w:val="0"/>
              </w:rPr>
              <w:t>安全措施：定期检查各探伤室的灯光警示装置及门机连锁装置的有效性，发现故障及时清除，严禁违规操作。对项目布置的急停开关进行显著的标示，出现问题时，应就近按下急停开关。对于本项目涉及的安全控制措施的各机构及电控系统，制定有定期检查和维护的制度。确保安全装置随时处于正常工作状态。放射工作场地因某种原因损坏，该公司应立即停止使用，修复后再投入使用。</w:t>
            </w:r>
          </w:p>
          <w:p>
            <w:pPr>
              <w:pStyle w:val="42"/>
              <w:rPr>
                <w:rFonts w:hint="default" w:ascii="Times New Roman" w:hAnsi="Times New Roman" w:cs="Times New Roman"/>
                <w:color w:val="auto"/>
                <w:kern w:val="0"/>
              </w:rPr>
            </w:pPr>
            <w:r>
              <w:rPr>
                <w:rFonts w:hint="default" w:ascii="Times New Roman" w:hAnsi="Times New Roman" w:cs="Times New Roman"/>
                <w:color w:val="auto"/>
                <w:kern w:val="0"/>
              </w:rPr>
              <w:t>（4）出现较预定值更高的束流强度</w:t>
            </w:r>
          </w:p>
          <w:p>
            <w:pPr>
              <w:pStyle w:val="47"/>
              <w:rPr>
                <w:rFonts w:hint="default" w:ascii="Times New Roman" w:hAnsi="Times New Roman" w:cs="Times New Roman"/>
                <w:color w:val="auto"/>
                <w:kern w:val="0"/>
              </w:rPr>
            </w:pPr>
            <w:r>
              <w:rPr>
                <w:rFonts w:hint="default" w:ascii="Times New Roman" w:hAnsi="Times New Roman" w:cs="Times New Roman"/>
                <w:color w:val="auto"/>
                <w:kern w:val="0"/>
              </w:rPr>
              <w:t>原因分析：探伤机电器元件故障，电源不稳，控制器失误等原因使束电流加大，导致高强度束流射向屏蔽不足的区域。</w:t>
            </w:r>
          </w:p>
          <w:p>
            <w:pPr>
              <w:pStyle w:val="47"/>
              <w:rPr>
                <w:rFonts w:hint="default" w:ascii="Times New Roman" w:hAnsi="Times New Roman" w:cs="Times New Roman"/>
                <w:b/>
                <w:color w:val="auto"/>
                <w:kern w:val="0"/>
              </w:rPr>
            </w:pPr>
            <w:r>
              <w:rPr>
                <w:rFonts w:hint="default" w:ascii="Times New Roman" w:hAnsi="Times New Roman" w:cs="Times New Roman"/>
                <w:color w:val="auto"/>
                <w:kern w:val="0"/>
              </w:rPr>
              <w:t>安全措施：探伤机故障报警系统可及时发现故障；交流净化电源为设备提供稳压电源，过压、欠压、过流报警，消除电流冲击等功能；辐射监测器和报警系统可用作针对这类事件进行人员防护和纵深防御措施。</w:t>
            </w:r>
          </w:p>
          <w:p>
            <w:pPr>
              <w:pStyle w:val="42"/>
              <w:rPr>
                <w:rFonts w:hint="default" w:ascii="Times New Roman" w:hAnsi="Times New Roman" w:cs="Times New Roman"/>
                <w:color w:val="auto"/>
                <w:kern w:val="0"/>
              </w:rPr>
            </w:pPr>
            <w:r>
              <w:rPr>
                <w:rFonts w:hint="default" w:ascii="Times New Roman" w:hAnsi="Times New Roman" w:cs="Times New Roman"/>
                <w:color w:val="auto"/>
                <w:kern w:val="0"/>
              </w:rPr>
              <w:t>（5）人员误操作</w:t>
            </w:r>
          </w:p>
          <w:p>
            <w:pPr>
              <w:pStyle w:val="47"/>
              <w:rPr>
                <w:rFonts w:hint="default" w:ascii="Times New Roman" w:hAnsi="Times New Roman" w:cs="Times New Roman"/>
                <w:color w:val="auto"/>
                <w:kern w:val="0"/>
              </w:rPr>
            </w:pPr>
            <w:r>
              <w:rPr>
                <w:rFonts w:hint="default" w:ascii="Times New Roman" w:hAnsi="Times New Roman" w:cs="Times New Roman"/>
                <w:color w:val="auto"/>
                <w:kern w:val="0"/>
              </w:rPr>
              <w:t>原因分析：不了解探伤机的基本结构和性能，缺乏操作经验和缺乏防护知识，安全观念淡薄、无责任心；违反操作规程和有关规定，操作失误；管理不善、领导失察等，是人为的因素造成的辐射事故的最大原因。</w:t>
            </w:r>
          </w:p>
          <w:p>
            <w:pPr>
              <w:pStyle w:val="47"/>
              <w:rPr>
                <w:rFonts w:hint="default" w:ascii="Times New Roman" w:hAnsi="Times New Roman" w:cs="Times New Roman"/>
                <w:color w:val="auto"/>
              </w:rPr>
            </w:pPr>
            <w:r>
              <w:rPr>
                <w:rFonts w:hint="default" w:ascii="Times New Roman" w:hAnsi="Times New Roman" w:cs="Times New Roman"/>
                <w:color w:val="auto"/>
                <w:kern w:val="0"/>
              </w:rPr>
              <w:t>防范措施：放射工作人员必须加强专业知识学习，加强防护知识培训，避免犯常识性错误；加强职业道德修养，增强责任感，严格遵守操作规程和规章制度；管理人员应强化管理，落实监测频率；每年一次。</w:t>
            </w:r>
          </w:p>
          <w:p>
            <w:pPr>
              <w:pStyle w:val="42"/>
              <w:rPr>
                <w:rFonts w:hint="default" w:ascii="Times New Roman" w:hAnsi="Times New Roman" w:cs="Times New Roman"/>
                <w:color w:val="auto"/>
              </w:rPr>
            </w:pPr>
            <w:r>
              <w:rPr>
                <w:rFonts w:hint="default" w:ascii="Times New Roman" w:hAnsi="Times New Roman" w:cs="Times New Roman"/>
                <w:color w:val="auto"/>
              </w:rPr>
              <w:t>11.7.3危害后果分析</w:t>
            </w:r>
          </w:p>
          <w:p>
            <w:pPr>
              <w:pStyle w:val="47"/>
              <w:rPr>
                <w:rFonts w:hint="default" w:ascii="Times New Roman" w:hAnsi="Times New Roman" w:cs="Times New Roman"/>
                <w:color w:val="auto"/>
                <w:kern w:val="0"/>
              </w:rPr>
            </w:pPr>
            <w:r>
              <w:rPr>
                <w:rFonts w:hint="default" w:ascii="Times New Roman" w:hAnsi="Times New Roman" w:cs="Times New Roman"/>
                <w:color w:val="auto"/>
                <w:kern w:val="0"/>
              </w:rPr>
              <w:t>电离辐射引起生物效应的作用是一种非常复杂的过程。目前仍不清楚，但是大多数学者认为放射损伤发生是按一定的阶梯进行的。生物基质的电离和激发引起生物分子结构和性质的变化，由分子水平的损伤进一步造成细胞水平、器官水平的损伤，继而出现相应的生化代谢紊乱，并由此产生一系列临床症状。</w:t>
            </w:r>
          </w:p>
          <w:p>
            <w:pPr>
              <w:pStyle w:val="47"/>
              <w:rPr>
                <w:rFonts w:hint="default" w:ascii="Times New Roman" w:hAnsi="Times New Roman" w:cs="Times New Roman"/>
                <w:b/>
                <w:bCs/>
                <w:color w:val="auto"/>
              </w:rPr>
            </w:pPr>
            <w:r>
              <w:rPr>
                <w:rFonts w:hint="default" w:ascii="Times New Roman" w:hAnsi="Times New Roman" w:cs="Times New Roman"/>
                <w:color w:val="auto"/>
                <w:kern w:val="0"/>
              </w:rPr>
              <w:t>电离辐射生物效应按受照个体划分可分为躯体效应和遗传效应；按其发生性质划分可分为确定性效应和随机性效应。</w:t>
            </w:r>
          </w:p>
          <w:p>
            <w:pPr>
              <w:pStyle w:val="42"/>
              <w:rPr>
                <w:rFonts w:hint="default" w:ascii="Times New Roman" w:hAnsi="Times New Roman" w:cs="Times New Roman"/>
                <w:b w:val="0"/>
                <w:bCs/>
                <w:color w:val="auto"/>
              </w:rPr>
            </w:pPr>
            <w:r>
              <w:rPr>
                <w:rFonts w:hint="default" w:ascii="Times New Roman" w:hAnsi="Times New Roman" w:cs="Times New Roman"/>
                <w:bCs/>
                <w:color w:val="auto"/>
              </w:rPr>
              <w:t>确定性效</w:t>
            </w:r>
            <w:r>
              <w:rPr>
                <w:rFonts w:hint="default" w:ascii="Times New Roman" w:hAnsi="Times New Roman" w:cs="Times New Roman"/>
                <w:b w:val="0"/>
                <w:bCs/>
                <w:color w:val="auto"/>
              </w:rPr>
              <w:t>应是指严重程度随剂量变化，可能存在阈值的效应，这类效应的严重程度取决于剂量大小，但只有在剂量超过一定的阈值时才能发生。实际上确定性效应是高水平辐射照射导致细胞死亡，细胞延缓分裂的各种不同过程的结果。</w:t>
            </w:r>
          </w:p>
          <w:p>
            <w:pPr>
              <w:pStyle w:val="42"/>
              <w:ind w:firstLine="480"/>
              <w:rPr>
                <w:rFonts w:hint="default" w:ascii="Times New Roman" w:hAnsi="Times New Roman" w:cs="Times New Roman"/>
                <w:b w:val="0"/>
                <w:bCs/>
                <w:color w:val="auto"/>
              </w:rPr>
            </w:pPr>
            <w:r>
              <w:rPr>
                <w:rFonts w:hint="default" w:ascii="Times New Roman" w:hAnsi="Times New Roman" w:cs="Times New Roman"/>
                <w:b w:val="0"/>
                <w:bCs/>
                <w:color w:val="auto"/>
              </w:rPr>
              <w:t>确定性效应常出现在短时间间隔内的高剂量照射的情况（急性照射）。除了受控制的医学照射外，高剂量照射一般不会出现在工作场所。因此，确定性效应一般也不会出现在常规的工作场所，仅在事故情况下被观察到。经计算X线的输出率最大为3.3E+5μSv·m</w:t>
            </w:r>
            <w:r>
              <w:rPr>
                <w:rFonts w:hint="default" w:ascii="Times New Roman" w:hAnsi="Times New Roman" w:cs="Times New Roman"/>
                <w:b w:val="0"/>
                <w:bCs/>
                <w:color w:val="auto"/>
                <w:vertAlign w:val="superscript"/>
              </w:rPr>
              <w:t>2</w:t>
            </w:r>
            <w:r>
              <w:rPr>
                <w:rFonts w:hint="default" w:ascii="Times New Roman" w:hAnsi="Times New Roman" w:cs="Times New Roman"/>
                <w:b w:val="0"/>
                <w:bCs/>
                <w:color w:val="auto"/>
              </w:rPr>
              <w:t>/mA·h，单次照射时间24min，人员在距离辐射源点1m处受到误照射，无屏蔽体屏蔽情况下，单次照射下受照剂量最大为0.</w:t>
            </w:r>
            <w:r>
              <w:rPr>
                <w:rFonts w:hint="eastAsia" w:cs="Times New Roman"/>
                <w:b w:val="0"/>
                <w:bCs/>
                <w:color w:val="auto"/>
                <w:lang w:val="en-US" w:eastAsia="zh-CN"/>
              </w:rPr>
              <w:t>132</w:t>
            </w:r>
            <w:r>
              <w:rPr>
                <w:rFonts w:hint="default" w:ascii="Times New Roman" w:hAnsi="Times New Roman" w:cs="Times New Roman"/>
                <w:b w:val="0"/>
                <w:bCs/>
                <w:color w:val="auto"/>
              </w:rPr>
              <w:t>Gy，小于1Gy，受照人员可能会出现可恢复的机能变化、血液变化，在短时间内出现3次及以上误照射，则会引起轻度造血型放射病，需及时治疗。</w:t>
            </w:r>
          </w:p>
          <w:p>
            <w:pPr>
              <w:pStyle w:val="42"/>
              <w:rPr>
                <w:rFonts w:hint="default" w:ascii="Times New Roman" w:hAnsi="Times New Roman" w:cs="Times New Roman"/>
                <w:b w:val="0"/>
                <w:bCs/>
                <w:color w:val="auto"/>
              </w:rPr>
            </w:pPr>
            <w:r>
              <w:rPr>
                <w:rFonts w:hint="default" w:ascii="Times New Roman" w:hAnsi="Times New Roman" w:cs="Times New Roman"/>
                <w:color w:val="auto"/>
                <w:kern w:val="0"/>
              </w:rPr>
              <w:t>随机性效应</w:t>
            </w:r>
            <w:r>
              <w:rPr>
                <w:rFonts w:hint="default" w:ascii="Times New Roman" w:hAnsi="Times New Roman" w:cs="Times New Roman"/>
                <w:b w:val="0"/>
                <w:bCs/>
                <w:color w:val="auto"/>
              </w:rPr>
              <w:t>发生率与剂量大小有关，严重程度与剂量无关，不存在阈值的一类效应。这类效应的发生率取决于剂量大小，并被认为无剂量阈值。从生物效应角度解释，随机性效应是受照体受照剂量仅改变而不杀死受照细胞，被改变的细胞经长期延迟过程后可能发展成为一种癌。</w:t>
            </w:r>
          </w:p>
          <w:p>
            <w:pPr>
              <w:pStyle w:val="47"/>
              <w:rPr>
                <w:rFonts w:hint="default" w:ascii="Times New Roman" w:hAnsi="Times New Roman" w:cs="Times New Roman"/>
                <w:color w:val="auto"/>
                <w:kern w:val="0"/>
              </w:rPr>
            </w:pPr>
            <w:r>
              <w:rPr>
                <w:rFonts w:hint="default" w:ascii="Times New Roman" w:hAnsi="Times New Roman" w:cs="Times New Roman"/>
                <w:color w:val="auto"/>
                <w:kern w:val="0"/>
              </w:rPr>
              <w:t>由于X射线探伤机只在开机状态下オ会产生X射线，一旦发现有人误入，只要关闭电源即可解除辐射事故，因此，处理辐射事故的时间较短。假设考虑射线装置运行时人员误入，探伤室内设置有“紧急停机”按钮，只要误入人员按下此按钮就可以停机，或者操作人员按下控制台的紧急停机按钮就可以停机。</w:t>
            </w:r>
          </w:p>
          <w:p>
            <w:pPr>
              <w:pStyle w:val="47"/>
              <w:ind w:firstLine="482"/>
              <w:rPr>
                <w:rFonts w:hint="default" w:ascii="Times New Roman" w:hAnsi="Times New Roman" w:cs="Times New Roman"/>
                <w:color w:val="auto"/>
              </w:rPr>
            </w:pPr>
            <w:r>
              <w:rPr>
                <w:rFonts w:hint="default" w:ascii="Times New Roman" w:hAnsi="Times New Roman" w:cs="Times New Roman"/>
                <w:b/>
                <w:bCs/>
                <w:color w:val="auto"/>
                <w:kern w:val="0"/>
              </w:rPr>
              <w:t>综上分析，本项目射线装置一旦发生辐射事故，应立即切断电源，停止射线装置。建设单位在管理中必须认真执行安全操作规程和各项规章制度，强化安全管理杜绝此类事故发生。</w:t>
            </w:r>
          </w:p>
        </w:tc>
      </w:tr>
    </w:tbl>
    <w:p>
      <w:pPr>
        <w:pStyle w:val="51"/>
        <w:rPr>
          <w:color w:val="auto"/>
        </w:rPr>
        <w:sectPr>
          <w:pgSz w:w="11906" w:h="16838"/>
          <w:pgMar w:top="1440" w:right="1800" w:bottom="1440" w:left="1800" w:header="851" w:footer="992" w:gutter="0"/>
          <w:cols w:space="720" w:num="1"/>
          <w:docGrid w:type="lines" w:linePitch="312" w:charSpace="0"/>
        </w:sectPr>
      </w:pPr>
    </w:p>
    <w:p>
      <w:pPr>
        <w:pStyle w:val="51"/>
        <w:rPr>
          <w:color w:val="auto"/>
        </w:rPr>
      </w:pPr>
      <w:bookmarkStart w:id="132" w:name="_Toc2740"/>
      <w:r>
        <w:rPr>
          <w:rFonts w:hint="eastAsia"/>
          <w:color w:val="auto"/>
        </w:rPr>
        <w:t>表12辐射安全管理</w:t>
      </w:r>
      <w:bookmarkEnd w:id="132"/>
    </w:p>
    <w:tbl>
      <w:tblPr>
        <w:tblStyle w:val="23"/>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41" w:hRule="atLeast"/>
        </w:trPr>
        <w:tc>
          <w:tcPr>
            <w:tcW w:w="8296" w:type="dxa"/>
            <w:noWrap w:val="0"/>
            <w:vAlign w:val="top"/>
          </w:tcPr>
          <w:p>
            <w:pPr>
              <w:pStyle w:val="51"/>
              <w:rPr>
                <w:rFonts w:hint="default" w:ascii="Times New Roman" w:hAnsi="Times New Roman" w:cs="Times New Roman"/>
                <w:color w:val="auto"/>
              </w:rPr>
            </w:pPr>
            <w:bookmarkStart w:id="133" w:name="_Toc29868"/>
            <w:r>
              <w:rPr>
                <w:rFonts w:hint="default" w:ascii="Times New Roman" w:hAnsi="Times New Roman" w:cs="Times New Roman"/>
                <w:color w:val="auto"/>
              </w:rPr>
              <w:t>12.1辐射安全与环境保护管理机构的设置</w:t>
            </w:r>
            <w:bookmarkEnd w:id="133"/>
          </w:p>
          <w:p>
            <w:pPr>
              <w:pStyle w:val="45"/>
              <w:spacing w:before="156" w:after="156"/>
              <w:rPr>
                <w:rFonts w:hint="default" w:ascii="Times New Roman" w:hAnsi="Times New Roman" w:cs="Times New Roman"/>
                <w:color w:val="auto"/>
              </w:rPr>
            </w:pPr>
            <w:r>
              <w:rPr>
                <w:rFonts w:hint="default" w:ascii="Times New Roman" w:hAnsi="Times New Roman" w:cs="Times New Roman"/>
                <w:color w:val="auto"/>
              </w:rPr>
              <w:t>12.1.1辐射安全管理领导小组</w:t>
            </w:r>
          </w:p>
          <w:p>
            <w:pPr>
              <w:pStyle w:val="47"/>
              <w:rPr>
                <w:rFonts w:hint="default" w:ascii="Times New Roman" w:hAnsi="Times New Roman" w:cs="Times New Roman"/>
                <w:color w:val="auto"/>
                <w:kern w:val="0"/>
              </w:rPr>
            </w:pPr>
            <w:r>
              <w:rPr>
                <w:rFonts w:hint="default" w:ascii="Times New Roman" w:hAnsi="Times New Roman" w:cs="Times New Roman"/>
                <w:color w:val="auto"/>
                <w:kern w:val="0"/>
              </w:rPr>
              <w:t>根据《放射性同位素与射线装置安全许可管理办法（2021修订）》，环境保护部令第3号第十六条要求：使用Ⅰ类、Ⅱ类、Ⅲ类放射源，使用Ⅰ类、Ⅱ类射线装置的，应当设有专门的辐射安全与环境保护管理机构，或者至少有1名具有本科以上学历的技术人员专职负责辐射安全与环境保护管理工作。</w:t>
            </w:r>
          </w:p>
          <w:p>
            <w:pPr>
              <w:pStyle w:val="47"/>
              <w:rPr>
                <w:rFonts w:hint="default" w:ascii="Times New Roman" w:hAnsi="Times New Roman" w:cs="Times New Roman"/>
                <w:color w:val="auto"/>
                <w:kern w:val="0"/>
              </w:rPr>
            </w:pPr>
            <w:r>
              <w:rPr>
                <w:rFonts w:hint="default" w:ascii="Times New Roman" w:hAnsi="Times New Roman" w:cs="Times New Roman"/>
                <w:color w:val="auto"/>
              </w:rPr>
              <w:t>为认真贯彻执行《电离辐射防护与辐射安全基本标准》关于</w:t>
            </w:r>
            <w:r>
              <w:rPr>
                <w:rFonts w:hint="eastAsia" w:cs="Times New Roman"/>
                <w:color w:val="auto"/>
                <w:lang w:eastAsia="zh-CN"/>
              </w:rPr>
              <w:t>“</w:t>
            </w:r>
            <w:r>
              <w:rPr>
                <w:rFonts w:hint="default" w:ascii="Times New Roman" w:hAnsi="Times New Roman" w:cs="Times New Roman"/>
                <w:color w:val="auto"/>
              </w:rPr>
              <w:t>营运管理</w:t>
            </w:r>
            <w:r>
              <w:rPr>
                <w:rFonts w:hint="eastAsia" w:cs="Times New Roman"/>
                <w:color w:val="auto"/>
                <w:lang w:eastAsia="zh-CN"/>
              </w:rPr>
              <w:t>”</w:t>
            </w:r>
            <w:r>
              <w:rPr>
                <w:rFonts w:hint="default" w:ascii="Times New Roman" w:hAnsi="Times New Roman" w:cs="Times New Roman"/>
                <w:color w:val="auto"/>
              </w:rPr>
              <w:t>的要求及国家的有关规定，加强公司厂区内部管理，公司</w:t>
            </w:r>
            <w:r>
              <w:rPr>
                <w:rFonts w:hint="eastAsia" w:cs="Times New Roman"/>
                <w:color w:val="auto"/>
                <w:lang w:val="en-US" w:eastAsia="zh-CN"/>
              </w:rPr>
              <w:t>计划</w:t>
            </w:r>
            <w:r>
              <w:rPr>
                <w:rFonts w:hint="default" w:ascii="Times New Roman" w:hAnsi="Times New Roman" w:cs="Times New Roman"/>
                <w:color w:val="auto"/>
              </w:rPr>
              <w:t>成立了辐射安全防护领导小组，包括了1名组长，</w:t>
            </w:r>
            <w:r>
              <w:rPr>
                <w:rFonts w:hint="eastAsia" w:cs="Times New Roman"/>
                <w:color w:val="auto"/>
                <w:lang w:val="en-US" w:eastAsia="zh-CN"/>
              </w:rPr>
              <w:t>2</w:t>
            </w:r>
            <w:r>
              <w:rPr>
                <w:rFonts w:hint="default" w:ascii="Times New Roman" w:hAnsi="Times New Roman" w:cs="Times New Roman"/>
                <w:color w:val="auto"/>
              </w:rPr>
              <w:t>名成员</w:t>
            </w:r>
            <w:r>
              <w:rPr>
                <w:rFonts w:hint="eastAsia" w:cs="Times New Roman"/>
                <w:color w:val="auto"/>
                <w:lang w:eastAsia="zh-CN"/>
              </w:rPr>
              <w:t>，</w:t>
            </w:r>
            <w:r>
              <w:rPr>
                <w:rFonts w:hint="eastAsia" w:cs="Times New Roman"/>
                <w:color w:val="auto"/>
                <w:kern w:val="0"/>
                <w:lang w:val="en-US" w:eastAsia="zh-CN"/>
              </w:rPr>
              <w:t>拟安排主管安全生产的企业管理人员任职，具体成员名单待定</w:t>
            </w:r>
            <w:r>
              <w:rPr>
                <w:rFonts w:hint="default" w:ascii="Times New Roman" w:hAnsi="Times New Roman" w:cs="Times New Roman"/>
                <w:color w:val="auto"/>
                <w:kern w:val="0"/>
              </w:rPr>
              <w:t>。</w:t>
            </w:r>
          </w:p>
          <w:p>
            <w:pPr>
              <w:pStyle w:val="42"/>
              <w:rPr>
                <w:rFonts w:hint="default" w:ascii="Times New Roman" w:hAnsi="Times New Roman" w:cs="Times New Roman"/>
                <w:color w:val="auto"/>
              </w:rPr>
            </w:pPr>
            <w:r>
              <w:rPr>
                <w:rFonts w:hint="default" w:ascii="Times New Roman" w:hAnsi="Times New Roman" w:cs="Times New Roman"/>
                <w:color w:val="auto"/>
              </w:rPr>
              <w:t>12.1.2职业人员的辐射安全与防护培训和再培训计划</w:t>
            </w:r>
          </w:p>
          <w:p>
            <w:pPr>
              <w:pStyle w:val="47"/>
              <w:ind w:firstLine="482"/>
              <w:rPr>
                <w:rFonts w:hint="default" w:ascii="Times New Roman" w:hAnsi="Times New Roman" w:cs="Times New Roman"/>
                <w:b/>
                <w:bCs/>
                <w:color w:val="auto"/>
              </w:rPr>
            </w:pPr>
            <w:r>
              <w:rPr>
                <w:rFonts w:hint="default" w:ascii="Times New Roman" w:hAnsi="Times New Roman" w:cs="Times New Roman"/>
                <w:b/>
                <w:bCs/>
                <w:color w:val="auto"/>
              </w:rPr>
              <w:t>（1）职业人员的辐射安全与防护培训和再培训计划要求</w:t>
            </w:r>
          </w:p>
          <w:p>
            <w:pPr>
              <w:pStyle w:val="47"/>
              <w:rPr>
                <w:rFonts w:hint="default" w:ascii="Times New Roman" w:hAnsi="Times New Roman" w:cs="Times New Roman"/>
                <w:color w:val="auto"/>
                <w:kern w:val="0"/>
              </w:rPr>
            </w:pPr>
            <w:r>
              <w:rPr>
                <w:rFonts w:hint="default" w:ascii="Times New Roman" w:hAnsi="Times New Roman" w:cs="Times New Roman"/>
                <w:color w:val="auto"/>
                <w:kern w:val="0"/>
              </w:rPr>
              <w:t>根据环境保护部令第3号第十五条的规定：从事辐射工作的人员必须通过辐射安全和防护专业知识及相关法律法规的培训和考核。环境保护部令第18号第二十二条规定：</w:t>
            </w:r>
            <w:r>
              <w:rPr>
                <w:rFonts w:hint="default" w:ascii="Times New Roman" w:hAnsi="Times New Roman" w:cs="Times New Roman"/>
                <w:color w:val="auto"/>
                <w:kern w:val="0"/>
                <w:u w:val="none"/>
              </w:rPr>
              <w:t>取得辐射安全培训合格证书的人员，应当每五年接受一次再培训。</w:t>
            </w:r>
            <w:r>
              <w:rPr>
                <w:rFonts w:hint="default" w:ascii="Times New Roman" w:hAnsi="Times New Roman" w:cs="Times New Roman"/>
                <w:color w:val="auto"/>
                <w:kern w:val="0"/>
              </w:rPr>
              <w:t>辐射安全再培训包括新颁布的相关法律、法规和辐射安全与防护专业标准、技术规范，以及辐射事故案例分析与经验反馈等内容。</w:t>
            </w:r>
          </w:p>
          <w:p>
            <w:pPr>
              <w:pStyle w:val="47"/>
              <w:ind w:firstLine="482"/>
              <w:rPr>
                <w:rFonts w:hint="default" w:ascii="Times New Roman" w:hAnsi="Times New Roman" w:cs="Times New Roman"/>
                <w:b/>
                <w:bCs/>
                <w:color w:val="auto"/>
              </w:rPr>
            </w:pPr>
            <w:r>
              <w:rPr>
                <w:rFonts w:hint="default" w:ascii="Times New Roman" w:hAnsi="Times New Roman" w:cs="Times New Roman"/>
                <w:b/>
                <w:bCs/>
                <w:color w:val="auto"/>
              </w:rPr>
              <w:t>（2）辐射工作人员的配置及培训情况</w:t>
            </w:r>
          </w:p>
          <w:p>
            <w:pPr>
              <w:pStyle w:val="47"/>
              <w:rPr>
                <w:rFonts w:hint="default" w:ascii="Times New Roman" w:hAnsi="Times New Roman" w:cs="Times New Roman"/>
                <w:color w:val="auto"/>
                <w:kern w:val="0"/>
                <w:u w:val="none"/>
              </w:rPr>
            </w:pPr>
            <w:r>
              <w:rPr>
                <w:rFonts w:hint="default" w:ascii="Times New Roman" w:hAnsi="Times New Roman" w:cs="Times New Roman"/>
                <w:color w:val="auto"/>
                <w:kern w:val="0"/>
                <w:u w:val="none"/>
              </w:rPr>
              <w:t>为满足建设单位放射工作和安全的需要，建设单位拟配置了3名辐射工作人员，</w:t>
            </w:r>
            <w:r>
              <w:rPr>
                <w:rFonts w:hint="default" w:ascii="Times New Roman" w:hAnsi="Times New Roman" w:cs="Times New Roman"/>
                <w:color w:val="auto"/>
                <w:u w:val="none"/>
              </w:rPr>
              <w:t>新从事辐射活动的人员，以及原持有的辐射安全培训合格证书到期的人员，上岗前必须通过国家核技术利用辐射安全与防护培训平台（网址：http：//fushe.mee.gov.cn）核技术利用辐射安全与防护考核，做到所有从事辐射工作的人员均持证上岗。</w:t>
            </w:r>
          </w:p>
          <w:p>
            <w:pPr>
              <w:pStyle w:val="47"/>
              <w:rPr>
                <w:rFonts w:hint="eastAsia" w:ascii="Times New Roman" w:hAnsi="Times New Roman" w:eastAsia="宋体" w:cs="Times New Roman"/>
                <w:color w:val="auto"/>
                <w:kern w:val="0"/>
                <w:lang w:eastAsia="zh-CN"/>
              </w:rPr>
            </w:pPr>
            <w:r>
              <w:rPr>
                <w:rFonts w:hint="default" w:ascii="Times New Roman" w:hAnsi="Times New Roman" w:cs="Times New Roman"/>
                <w:color w:val="auto"/>
                <w:kern w:val="0"/>
              </w:rPr>
              <w:t>此外，</w:t>
            </w:r>
            <w:r>
              <w:rPr>
                <w:rFonts w:hint="eastAsia" w:cs="Times New Roman"/>
                <w:color w:val="auto"/>
                <w:kern w:val="0"/>
                <w:lang w:val="en-US" w:eastAsia="zh-CN"/>
              </w:rPr>
              <w:t>探伤工作还需要</w:t>
            </w:r>
            <w:r>
              <w:rPr>
                <w:rFonts w:hint="default" w:ascii="Times New Roman" w:hAnsi="Times New Roman" w:cs="Times New Roman"/>
                <w:color w:val="auto"/>
                <w:kern w:val="0"/>
              </w:rPr>
              <w:t>按照行之有效的人机工程学原则设计设备和制定操作程序，使设备的操作或使用尽可能简单，从而使操作错误导致事故的可能性降至最小，并减少误解正常和异常工况指示信号的可能性</w:t>
            </w:r>
            <w:r>
              <w:rPr>
                <w:rFonts w:hint="eastAsia" w:cs="Times New Roman"/>
                <w:color w:val="auto"/>
                <w:kern w:val="0"/>
                <w:lang w:eastAsia="zh-CN"/>
              </w:rPr>
              <w:t>。</w:t>
            </w:r>
          </w:p>
          <w:p>
            <w:pPr>
              <w:pStyle w:val="42"/>
              <w:rPr>
                <w:rFonts w:hint="default" w:ascii="Times New Roman" w:hAnsi="Times New Roman" w:cs="Times New Roman"/>
                <w:color w:val="auto"/>
              </w:rPr>
            </w:pPr>
            <w:r>
              <w:rPr>
                <w:rFonts w:hint="default" w:ascii="Times New Roman" w:hAnsi="Times New Roman" w:cs="Times New Roman"/>
                <w:color w:val="auto"/>
              </w:rPr>
              <w:t>12.1.3辐射工作人员的健康管理及个人剂量监测管理</w:t>
            </w:r>
          </w:p>
          <w:p>
            <w:pPr>
              <w:pStyle w:val="47"/>
              <w:rPr>
                <w:rFonts w:hint="default" w:ascii="Times New Roman" w:hAnsi="Times New Roman" w:cs="Times New Roman"/>
                <w:color w:val="auto"/>
                <w:kern w:val="0"/>
              </w:rPr>
            </w:pPr>
            <w:r>
              <w:rPr>
                <w:rFonts w:hint="default" w:ascii="Times New Roman" w:hAnsi="Times New Roman" w:cs="Times New Roman"/>
                <w:color w:val="auto"/>
                <w:kern w:val="0"/>
              </w:rPr>
              <w:t>对辐射工作人员进行的经常性医学检查，按照《辐射工作人员健康标准》的规定执行，公司应为辐射工作人员简历个人健康档案，档案中详细记录历次医学检查的结构及其评价处理意见，并妥善保存。</w:t>
            </w:r>
          </w:p>
          <w:p>
            <w:pPr>
              <w:pStyle w:val="47"/>
              <w:rPr>
                <w:rFonts w:hint="default" w:ascii="Times New Roman" w:hAnsi="Times New Roman" w:cs="Times New Roman"/>
                <w:bCs/>
                <w:color w:val="auto"/>
                <w:kern w:val="0"/>
              </w:rPr>
            </w:pPr>
            <w:r>
              <w:rPr>
                <w:rFonts w:hint="default" w:ascii="Times New Roman" w:hAnsi="Times New Roman" w:cs="Times New Roman"/>
                <w:bCs/>
                <w:color w:val="auto"/>
                <w:kern w:val="0"/>
              </w:rPr>
              <w:t>组织辐射工作人员每两年进行一次职业身体健康检查，建立个人健康档案，辐射工作人员上岗前和离岗后也应进行职业健康检查。</w:t>
            </w:r>
          </w:p>
          <w:p>
            <w:pPr>
              <w:pStyle w:val="47"/>
              <w:rPr>
                <w:rFonts w:hint="default" w:ascii="Times New Roman" w:hAnsi="Times New Roman" w:cs="Times New Roman"/>
                <w:b/>
                <w:color w:val="auto"/>
                <w:kern w:val="0"/>
              </w:rPr>
            </w:pPr>
            <w:r>
              <w:rPr>
                <w:rFonts w:hint="default" w:ascii="Times New Roman" w:hAnsi="Times New Roman" w:cs="Times New Roman"/>
                <w:color w:val="auto"/>
                <w:kern w:val="0"/>
              </w:rPr>
              <w:t>根据环境保护部令第3号、环境保护部令第18号中对工作人员个人剂量的要求，公司应为每名工作人员配置个人剂量计，定期组织工作人员进行个人剂量监测，发现个人剂量监测结果异常的，应当立即核实和调查，并将有关情况及时报告辐射安全许可证发证机关。公司还应安排专人负责个人剂量监测管理，建立了辐射工作人员个人剂量档案。包括个人基本信息、工作岗位、剂量监测结果等材料。根据中华人民共和国卫生部令第55号《放射工作人员职业健康管理办法》（2007年11月1日）规定，建立并终生保存个人剂量监测档案。</w:t>
            </w:r>
            <w:r>
              <w:rPr>
                <w:rFonts w:hint="default" w:ascii="Times New Roman" w:hAnsi="Times New Roman" w:cs="Times New Roman"/>
                <w:bCs/>
                <w:color w:val="auto"/>
                <w:kern w:val="0"/>
              </w:rPr>
              <w:t>操作人员佩戴个人剂量计，每90天对公司辐射工作人员进行个人剂量监测。</w:t>
            </w:r>
          </w:p>
          <w:p>
            <w:pPr>
              <w:pStyle w:val="47"/>
              <w:rPr>
                <w:rFonts w:hint="default" w:ascii="Times New Roman" w:hAnsi="Times New Roman" w:cs="Times New Roman"/>
                <w:color w:val="auto"/>
              </w:rPr>
            </w:pPr>
            <w:r>
              <w:rPr>
                <w:rFonts w:hint="default" w:ascii="Times New Roman" w:hAnsi="Times New Roman" w:cs="Times New Roman"/>
                <w:color w:val="auto"/>
                <w:kern w:val="0"/>
              </w:rPr>
              <w:t>本环评要求，在开展本项目辐射工作的同时，建设单位必须为辐射工作人员配置个人剂量计并进行个人剂量检测的工作、按要求组织安排辐射工作人员进行职业健康检查。</w:t>
            </w:r>
          </w:p>
          <w:p>
            <w:pPr>
              <w:pStyle w:val="45"/>
              <w:spacing w:before="156" w:after="156"/>
              <w:rPr>
                <w:rFonts w:hint="default" w:ascii="Times New Roman" w:hAnsi="Times New Roman" w:cs="Times New Roman"/>
                <w:color w:val="auto"/>
              </w:rPr>
            </w:pPr>
            <w:r>
              <w:rPr>
                <w:rFonts w:hint="default" w:ascii="Times New Roman" w:hAnsi="Times New Roman" w:cs="Times New Roman"/>
                <w:color w:val="auto"/>
              </w:rPr>
              <w:t>12.2辐射安全管理规章制度</w:t>
            </w:r>
          </w:p>
          <w:p>
            <w:pPr>
              <w:pStyle w:val="47"/>
              <w:rPr>
                <w:rFonts w:hint="default" w:ascii="Times New Roman" w:hAnsi="Times New Roman" w:cs="Times New Roman"/>
                <w:color w:val="auto"/>
                <w:kern w:val="0"/>
              </w:rPr>
            </w:pPr>
            <w:r>
              <w:rPr>
                <w:rFonts w:hint="default" w:ascii="Times New Roman" w:hAnsi="Times New Roman" w:cs="Times New Roman"/>
                <w:color w:val="auto"/>
                <w:kern w:val="0"/>
              </w:rPr>
              <w:t>根据《放射性同位素与射线装置安全许可管理办法》要求，使用Ⅱ类射线装置的，应当设有专门的辐射安全与环境保护管理机构；有健全的操作规程、岗位职责、辐射防护和安全保卫制度、设备检修维护制度、放射性同位素使用登记制度、人员培训计划、监测方案等。</w:t>
            </w:r>
          </w:p>
          <w:p>
            <w:pPr>
              <w:pStyle w:val="47"/>
              <w:rPr>
                <w:rFonts w:hint="default" w:ascii="Times New Roman" w:hAnsi="Times New Roman" w:cs="Times New Roman"/>
                <w:color w:val="auto"/>
                <w:kern w:val="0"/>
              </w:rPr>
            </w:pPr>
            <w:r>
              <w:rPr>
                <w:rFonts w:hint="default" w:ascii="Times New Roman" w:hAnsi="Times New Roman" w:cs="Times New Roman"/>
                <w:color w:val="auto"/>
                <w:kern w:val="0"/>
              </w:rPr>
              <w:t>根据《放射性同位素与射线装置安全和防护条例》和《放射性同位素与射线装置安全许可管理办法》的有关要求，须制定《辐射防护和安全保卫制度》、《射线装置操作规程》、《设备检修维护制度》、《岗位职责》、《放射工作人员培训计划》、《辐射工作场所及周围环境监测方案》等，</w:t>
            </w:r>
            <w:r>
              <w:rPr>
                <w:rFonts w:hint="eastAsia" w:cs="Times New Roman"/>
                <w:color w:val="auto"/>
                <w:kern w:val="0"/>
                <w:lang w:val="en-US" w:eastAsia="zh-CN"/>
              </w:rPr>
              <w:t>本次评价</w:t>
            </w:r>
            <w:r>
              <w:rPr>
                <w:rFonts w:hint="default" w:ascii="Times New Roman" w:hAnsi="Times New Roman" w:cs="Times New Roman"/>
                <w:color w:val="auto"/>
                <w:kern w:val="0"/>
              </w:rPr>
              <w:t>对各项制度提出相应的建议和要求如下：</w:t>
            </w:r>
          </w:p>
          <w:p>
            <w:pPr>
              <w:pStyle w:val="47"/>
              <w:numPr>
                <w:ilvl w:val="0"/>
                <w:numId w:val="7"/>
              </w:numPr>
              <w:rPr>
                <w:rFonts w:ascii="宋体" w:hAnsi="宋体" w:eastAsia="宋体" w:cs="宋体"/>
                <w:sz w:val="24"/>
                <w:szCs w:val="24"/>
              </w:rPr>
            </w:pPr>
            <w:r>
              <w:rPr>
                <w:rFonts w:hint="default" w:ascii="Times New Roman" w:hAnsi="Times New Roman" w:cs="Times New Roman"/>
                <w:color w:val="auto"/>
                <w:kern w:val="0"/>
              </w:rPr>
              <w:t>检测操作规程：明确工作人员的资质条件要求、检测的操作流程、</w:t>
            </w:r>
            <w:r>
              <w:rPr>
                <w:rFonts w:hint="eastAsia" w:cs="Times New Roman"/>
                <w:color w:val="auto"/>
                <w:kern w:val="0"/>
                <w:lang w:val="en-US" w:eastAsia="zh-CN"/>
              </w:rPr>
              <w:t>探伤机</w:t>
            </w:r>
            <w:r>
              <w:rPr>
                <w:rFonts w:ascii="宋体" w:hAnsi="宋体" w:eastAsia="宋体" w:cs="宋体"/>
                <w:sz w:val="24"/>
                <w:szCs w:val="24"/>
              </w:rPr>
              <w:t xml:space="preserve">操作流程及操作过程中应采取的具体防护措施。 </w:t>
            </w:r>
          </w:p>
          <w:p>
            <w:pPr>
              <w:pStyle w:val="47"/>
              <w:numPr>
                <w:ilvl w:val="0"/>
                <w:numId w:val="7"/>
              </w:numPr>
              <w:rPr>
                <w:rFonts w:hint="default" w:ascii="Times New Roman" w:hAnsi="Times New Roman" w:cs="Times New Roman"/>
                <w:color w:val="auto"/>
                <w:kern w:val="0"/>
              </w:rPr>
            </w:pPr>
            <w:r>
              <w:rPr>
                <w:rFonts w:ascii="宋体" w:hAnsi="宋体" w:eastAsia="宋体" w:cs="宋体"/>
                <w:sz w:val="24"/>
                <w:szCs w:val="24"/>
              </w:rPr>
              <w:t xml:space="preserve">岗位职责：明确管理人员、工作人员、维修人员的岗位责任，使每一个相关 的工作人员明确自己所在岗位具体责任，并层层落实。 </w:t>
            </w:r>
          </w:p>
          <w:p>
            <w:pPr>
              <w:pStyle w:val="47"/>
              <w:numPr>
                <w:ilvl w:val="0"/>
                <w:numId w:val="7"/>
              </w:numPr>
              <w:rPr>
                <w:rFonts w:hint="default" w:ascii="Times New Roman" w:hAnsi="Times New Roman" w:cs="Times New Roman"/>
                <w:color w:val="auto"/>
                <w:kern w:val="0"/>
              </w:rPr>
            </w:pPr>
            <w:r>
              <w:rPr>
                <w:rFonts w:ascii="宋体" w:hAnsi="宋体" w:eastAsia="宋体" w:cs="宋体"/>
                <w:sz w:val="24"/>
                <w:szCs w:val="24"/>
              </w:rPr>
              <w:t>辐射防护和安全保卫制度：根据公司的具体情况制定辐射防护和安全保卫制 度，重点是</w:t>
            </w:r>
            <w:r>
              <w:rPr>
                <w:rFonts w:hint="eastAsia" w:cs="Times New Roman"/>
                <w:color w:val="auto"/>
                <w:kern w:val="0"/>
                <w:lang w:val="en-US" w:eastAsia="zh-CN"/>
              </w:rPr>
              <w:t>探伤机</w:t>
            </w:r>
            <w:r>
              <w:rPr>
                <w:rFonts w:ascii="宋体" w:hAnsi="宋体" w:eastAsia="宋体" w:cs="宋体"/>
                <w:sz w:val="24"/>
                <w:szCs w:val="24"/>
              </w:rPr>
              <w:t xml:space="preserve">检测过程中的辐射安全管理。 </w:t>
            </w:r>
          </w:p>
          <w:p>
            <w:pPr>
              <w:pStyle w:val="47"/>
              <w:numPr>
                <w:ilvl w:val="0"/>
                <w:numId w:val="7"/>
              </w:numPr>
              <w:rPr>
                <w:rFonts w:hint="default" w:ascii="Times New Roman" w:hAnsi="Times New Roman" w:cs="Times New Roman"/>
                <w:color w:val="auto"/>
                <w:kern w:val="0"/>
              </w:rPr>
            </w:pPr>
            <w:r>
              <w:rPr>
                <w:rFonts w:ascii="宋体" w:hAnsi="宋体" w:eastAsia="宋体" w:cs="宋体"/>
                <w:sz w:val="24"/>
                <w:szCs w:val="24"/>
              </w:rPr>
              <w:t>设备维修制度：明确</w:t>
            </w:r>
            <w:r>
              <w:rPr>
                <w:rFonts w:hint="eastAsia" w:cs="Times New Roman"/>
                <w:color w:val="auto"/>
                <w:kern w:val="0"/>
                <w:lang w:val="en-US" w:eastAsia="zh-CN"/>
              </w:rPr>
              <w:t>探伤机</w:t>
            </w:r>
            <w:r>
              <w:rPr>
                <w:rFonts w:ascii="宋体" w:hAnsi="宋体" w:eastAsia="宋体" w:cs="宋体"/>
                <w:sz w:val="24"/>
                <w:szCs w:val="24"/>
              </w:rPr>
              <w:t>和辐射监测设备维修计划、维修的记录和在 日常使用过程中维护保养以及发生故障时采取的措施，并做好记录。确保</w:t>
            </w:r>
            <w:r>
              <w:rPr>
                <w:rFonts w:hint="eastAsia" w:cs="Times New Roman"/>
                <w:color w:val="auto"/>
                <w:kern w:val="0"/>
                <w:lang w:val="en-US" w:eastAsia="zh-CN"/>
              </w:rPr>
              <w:t>探伤机</w:t>
            </w:r>
            <w:r>
              <w:rPr>
                <w:rFonts w:ascii="宋体" w:hAnsi="宋体" w:eastAsia="宋体" w:cs="宋体"/>
                <w:sz w:val="24"/>
                <w:szCs w:val="24"/>
              </w:rPr>
              <w:t xml:space="preserve">、 剂量报警仪等仪器设备保持良好工作状态。 </w:t>
            </w:r>
          </w:p>
          <w:p>
            <w:pPr>
              <w:pStyle w:val="47"/>
              <w:numPr>
                <w:ilvl w:val="0"/>
                <w:numId w:val="7"/>
              </w:numPr>
              <w:rPr>
                <w:rFonts w:hint="default" w:ascii="Times New Roman" w:hAnsi="Times New Roman" w:cs="Times New Roman"/>
                <w:color w:val="auto"/>
                <w:kern w:val="0"/>
              </w:rPr>
            </w:pPr>
            <w:r>
              <w:rPr>
                <w:rFonts w:ascii="宋体" w:hAnsi="宋体" w:eastAsia="宋体" w:cs="宋体"/>
                <w:sz w:val="24"/>
                <w:szCs w:val="24"/>
              </w:rPr>
              <w:t>射线装置和放射源使用登记、台帐管理制度：制定并完善射线装置台帐，明 确装置数量、来源、去向，使用射线装置进行登记，明确使用人。</w:t>
            </w:r>
          </w:p>
          <w:p>
            <w:pPr>
              <w:pStyle w:val="47"/>
              <w:numPr>
                <w:ilvl w:val="0"/>
                <w:numId w:val="7"/>
              </w:numPr>
              <w:rPr>
                <w:rFonts w:hint="default" w:ascii="Times New Roman" w:hAnsi="Times New Roman" w:cs="Times New Roman"/>
                <w:color w:val="auto"/>
                <w:kern w:val="0"/>
              </w:rPr>
            </w:pPr>
            <w:r>
              <w:rPr>
                <w:rFonts w:ascii="宋体" w:hAnsi="宋体" w:eastAsia="宋体" w:cs="宋体"/>
                <w:sz w:val="24"/>
                <w:szCs w:val="24"/>
              </w:rPr>
              <w:t xml:space="preserve">人员培训计划：制定并完善培训对象、内容、周期、方式以及考核的办法等 内容，并强调对培训档案的管理，做到有据可查。 </w:t>
            </w:r>
          </w:p>
          <w:p>
            <w:pPr>
              <w:pStyle w:val="47"/>
              <w:numPr>
                <w:ilvl w:val="0"/>
                <w:numId w:val="7"/>
              </w:numPr>
              <w:rPr>
                <w:rFonts w:hint="default" w:ascii="Times New Roman" w:hAnsi="Times New Roman" w:cs="Times New Roman"/>
                <w:color w:val="auto"/>
                <w:kern w:val="0"/>
              </w:rPr>
            </w:pPr>
            <w:r>
              <w:rPr>
                <w:rFonts w:ascii="宋体" w:hAnsi="宋体" w:eastAsia="宋体" w:cs="宋体"/>
                <w:sz w:val="24"/>
                <w:szCs w:val="24"/>
              </w:rPr>
              <w:t xml:space="preserve">监测方案：制定并完善监测方案，方案中应明确监测频次和监测项目，监测 结果定期上报环境保护行政主管部门。 </w:t>
            </w:r>
          </w:p>
          <w:p>
            <w:pPr>
              <w:pStyle w:val="47"/>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kern w:val="0"/>
                <w:u w:val="single"/>
              </w:rPr>
            </w:pPr>
            <w:r>
              <w:rPr>
                <w:rFonts w:ascii="宋体" w:hAnsi="宋体" w:eastAsia="宋体" w:cs="宋体"/>
                <w:sz w:val="24"/>
                <w:szCs w:val="24"/>
              </w:rPr>
              <w:t>建设单位将在项目运营前，根据本项目运行管理和设备操作需求，及时更新现有 相关规章制度，使其与公司实际使用情况相符，具有可操作性，并将上述更新完善后 的制度粘贴在辐射工作场所</w:t>
            </w:r>
            <w:r>
              <w:rPr>
                <w:rFonts w:hint="default" w:ascii="Times New Roman" w:hAnsi="Times New Roman" w:cs="Times New Roman"/>
                <w:color w:val="auto"/>
                <w:kern w:val="0"/>
                <w:u w:val="single"/>
              </w:rPr>
              <w:t>。</w:t>
            </w:r>
          </w:p>
          <w:p>
            <w:pPr>
              <w:pStyle w:val="47"/>
              <w:ind w:firstLine="482"/>
              <w:rPr>
                <w:rFonts w:hint="default" w:ascii="Times New Roman" w:hAnsi="Times New Roman" w:cs="Times New Roman"/>
                <w:b/>
                <w:color w:val="auto"/>
                <w:kern w:val="0"/>
              </w:rPr>
            </w:pPr>
            <w:r>
              <w:rPr>
                <w:rFonts w:hint="default" w:ascii="Times New Roman" w:hAnsi="Times New Roman" w:cs="Times New Roman"/>
                <w:b/>
                <w:bCs/>
                <w:color w:val="auto"/>
              </w:rPr>
              <w:t>12.3辐射监测</w:t>
            </w:r>
          </w:p>
          <w:p>
            <w:pPr>
              <w:pStyle w:val="47"/>
              <w:rPr>
                <w:rFonts w:hint="default" w:ascii="Times New Roman" w:hAnsi="Times New Roman" w:cs="Times New Roman"/>
                <w:color w:val="auto"/>
                <w:kern w:val="0"/>
              </w:rPr>
            </w:pPr>
            <w:r>
              <w:rPr>
                <w:rFonts w:hint="default" w:ascii="Times New Roman" w:hAnsi="Times New Roman" w:cs="Times New Roman"/>
                <w:color w:val="auto"/>
                <w:kern w:val="0"/>
              </w:rPr>
              <w:t>根据《放射性同位素与射线装置安全和防护条例》（国务院709号令）《电离辐射防护与辐射源安全基本标准》（GB18871－2002）、《辐射环境监测技术规范》（HJ 61-2021）等相关法规和标准，必须对射线类装置使用单位进行个人剂量监测、工作场所监测、场所外的环境监测，开展常规的防护监测工作。</w:t>
            </w:r>
          </w:p>
          <w:p>
            <w:pPr>
              <w:pStyle w:val="47"/>
              <w:rPr>
                <w:rFonts w:hint="default" w:ascii="Times New Roman" w:hAnsi="Times New Roman" w:cs="Times New Roman"/>
                <w:b/>
                <w:color w:val="auto"/>
                <w:kern w:val="0"/>
              </w:rPr>
            </w:pPr>
            <w:r>
              <w:rPr>
                <w:rFonts w:hint="default" w:ascii="Times New Roman" w:hAnsi="Times New Roman" w:cs="Times New Roman"/>
                <w:color w:val="auto"/>
                <w:kern w:val="0"/>
              </w:rPr>
              <w:t>建设单位必须配备相应的监测仪器，或委托有资质的单位定期对公司使用的探伤室周围环境进行监测，按规定要求开展各项目监测，做好监测记录，存档备查。辐射监测内容包括个人剂量与工作场所外环境的监测。</w:t>
            </w:r>
          </w:p>
          <w:p>
            <w:pPr>
              <w:pStyle w:val="42"/>
              <w:rPr>
                <w:rFonts w:hint="default" w:ascii="Times New Roman" w:hAnsi="Times New Roman" w:cs="Times New Roman"/>
                <w:color w:val="auto"/>
              </w:rPr>
            </w:pPr>
            <w:r>
              <w:rPr>
                <w:rFonts w:hint="default" w:ascii="Times New Roman" w:hAnsi="Times New Roman" w:cs="Times New Roman"/>
                <w:color w:val="auto"/>
              </w:rPr>
              <w:t>（1）工作场所和周围环境监测</w:t>
            </w:r>
          </w:p>
          <w:p>
            <w:pPr>
              <w:pStyle w:val="42"/>
              <w:rPr>
                <w:rFonts w:hint="default" w:ascii="Times New Roman" w:hAnsi="Times New Roman" w:cs="Times New Roman"/>
                <w:color w:val="auto"/>
                <w:kern w:val="0"/>
              </w:rPr>
            </w:pPr>
            <w:r>
              <w:rPr>
                <w:rFonts w:hint="default" w:ascii="Times New Roman" w:hAnsi="Times New Roman" w:cs="Times New Roman"/>
                <w:color w:val="auto"/>
                <w:kern w:val="0"/>
              </w:rPr>
              <w:t>①验收监测</w:t>
            </w:r>
          </w:p>
          <w:p>
            <w:pPr>
              <w:pStyle w:val="47"/>
              <w:rPr>
                <w:rFonts w:hint="default" w:ascii="Times New Roman" w:hAnsi="Times New Roman" w:cs="Times New Roman"/>
                <w:color w:val="auto"/>
                <w:kern w:val="0"/>
              </w:rPr>
            </w:pPr>
            <w:r>
              <w:rPr>
                <w:rFonts w:hint="default" w:ascii="Times New Roman" w:hAnsi="Times New Roman" w:cs="Times New Roman"/>
                <w:color w:val="auto"/>
                <w:kern w:val="0"/>
              </w:rPr>
              <w:t>项目运行后，应委托有相应资质的单位进行验收监测。若发现问题，及时整改，直到合格为止。</w:t>
            </w:r>
          </w:p>
          <w:p>
            <w:pPr>
              <w:pStyle w:val="42"/>
              <w:rPr>
                <w:rFonts w:hint="default" w:ascii="Times New Roman" w:hAnsi="Times New Roman" w:cs="Times New Roman"/>
                <w:color w:val="auto"/>
              </w:rPr>
            </w:pPr>
            <w:r>
              <w:rPr>
                <w:rFonts w:hint="default" w:ascii="Times New Roman" w:hAnsi="Times New Roman" w:cs="Times New Roman"/>
                <w:color w:val="auto"/>
              </w:rPr>
              <w:t>②日常监测（自主检测或委托有资质的单位）</w:t>
            </w:r>
          </w:p>
          <w:p>
            <w:pPr>
              <w:pStyle w:val="47"/>
              <w:rPr>
                <w:rFonts w:hint="default" w:ascii="Times New Roman" w:hAnsi="Times New Roman" w:cs="Times New Roman"/>
                <w:color w:val="auto"/>
                <w:kern w:val="0"/>
              </w:rPr>
            </w:pPr>
            <w:r>
              <w:rPr>
                <w:rFonts w:hint="default" w:ascii="Times New Roman" w:hAnsi="Times New Roman" w:cs="Times New Roman"/>
                <w:color w:val="auto"/>
                <w:kern w:val="0"/>
              </w:rPr>
              <w:t>监测项目：X-γ空气吸收剂量率；</w:t>
            </w:r>
          </w:p>
          <w:p>
            <w:pPr>
              <w:pStyle w:val="47"/>
              <w:rPr>
                <w:rFonts w:hint="default" w:ascii="Times New Roman" w:hAnsi="Times New Roman" w:cs="Times New Roman"/>
                <w:color w:val="auto"/>
                <w:kern w:val="0"/>
              </w:rPr>
            </w:pPr>
            <w:r>
              <w:rPr>
                <w:rFonts w:hint="default" w:ascii="Times New Roman" w:hAnsi="Times New Roman" w:cs="Times New Roman"/>
                <w:color w:val="auto"/>
                <w:kern w:val="0"/>
              </w:rPr>
              <w:t>监测频次：每年进行一次辐射水平监测，委托有资质的单位进行，并保存监测记录；</w:t>
            </w:r>
          </w:p>
          <w:p>
            <w:pPr>
              <w:pStyle w:val="47"/>
              <w:rPr>
                <w:rFonts w:hint="default" w:ascii="Times New Roman" w:hAnsi="Times New Roman" w:cs="Times New Roman"/>
                <w:color w:val="auto"/>
                <w:kern w:val="0"/>
              </w:rPr>
            </w:pPr>
            <w:r>
              <w:rPr>
                <w:rFonts w:hint="default" w:ascii="Times New Roman" w:hAnsi="Times New Roman" w:cs="Times New Roman"/>
                <w:color w:val="auto"/>
                <w:kern w:val="0"/>
              </w:rPr>
              <w:t>监测范围：探伤室防护门及缝隙处，电缆及管道的出入口，操作台等；以及探伤室屏蔽体30cm处。</w:t>
            </w:r>
          </w:p>
          <w:p>
            <w:pPr>
              <w:pStyle w:val="47"/>
              <w:rPr>
                <w:rFonts w:hint="default" w:ascii="Times New Roman" w:hAnsi="Times New Roman" w:cs="Times New Roman"/>
                <w:color w:val="auto"/>
                <w:kern w:val="0"/>
              </w:rPr>
            </w:pPr>
            <w:r>
              <w:rPr>
                <w:rFonts w:hint="default" w:ascii="Times New Roman" w:hAnsi="Times New Roman" w:cs="Times New Roman"/>
                <w:color w:val="auto"/>
                <w:kern w:val="0"/>
              </w:rPr>
              <w:t>监测数据作为建设单位的管理依据。建设单位应自行配备X-γ剂量率测量仪（定期进行计量检定），对探伤室四周环境进行监测，发现问题及时整改。建设单位年度评估每年年底向市生态环境局和省生态环境厅上报备案。建设单位自行的日常监测要求如下表12-2所示。</w:t>
            </w:r>
          </w:p>
          <w:p>
            <w:pPr>
              <w:pStyle w:val="49"/>
              <w:rPr>
                <w:rFonts w:hint="default" w:ascii="Times New Roman" w:hAnsi="Times New Roman" w:cs="Times New Roman"/>
                <w:color w:val="auto"/>
              </w:rPr>
            </w:pPr>
            <w:r>
              <w:rPr>
                <w:rFonts w:hint="default" w:ascii="Times New Roman" w:hAnsi="Times New Roman" w:cs="Times New Roman"/>
                <w:color w:val="auto"/>
              </w:rPr>
              <w:t>表12-2建设单位常规监测内容一览表</w:t>
            </w: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1417"/>
              <w:gridCol w:w="2126"/>
              <w:gridCol w:w="18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89" w:type="dxa"/>
                  <w:noWrap w:val="0"/>
                  <w:vAlign w:val="center"/>
                </w:tcPr>
                <w:p>
                  <w:pPr>
                    <w:pStyle w:val="53"/>
                    <w:rPr>
                      <w:rFonts w:hint="default" w:ascii="Times New Roman" w:hAnsi="Times New Roman" w:cs="Times New Roman"/>
                      <w:color w:val="auto"/>
                    </w:rPr>
                  </w:pPr>
                  <w:r>
                    <w:rPr>
                      <w:rFonts w:hint="default" w:ascii="Times New Roman" w:hAnsi="Times New Roman" w:cs="Times New Roman"/>
                      <w:color w:val="auto"/>
                    </w:rPr>
                    <w:t>监测项目</w:t>
                  </w:r>
                </w:p>
              </w:tc>
              <w:tc>
                <w:tcPr>
                  <w:tcW w:w="1417" w:type="dxa"/>
                  <w:noWrap w:val="0"/>
                  <w:vAlign w:val="center"/>
                </w:tcPr>
                <w:p>
                  <w:pPr>
                    <w:pStyle w:val="53"/>
                    <w:rPr>
                      <w:rFonts w:hint="default" w:ascii="Times New Roman" w:hAnsi="Times New Roman" w:cs="Times New Roman"/>
                      <w:color w:val="auto"/>
                    </w:rPr>
                  </w:pPr>
                  <w:r>
                    <w:rPr>
                      <w:rFonts w:hint="default" w:ascii="Times New Roman" w:hAnsi="Times New Roman" w:cs="Times New Roman"/>
                      <w:color w:val="auto"/>
                    </w:rPr>
                    <w:t>监测因子</w:t>
                  </w:r>
                </w:p>
              </w:tc>
              <w:tc>
                <w:tcPr>
                  <w:tcW w:w="2126" w:type="dxa"/>
                  <w:noWrap w:val="0"/>
                  <w:vAlign w:val="center"/>
                </w:tcPr>
                <w:p>
                  <w:pPr>
                    <w:pStyle w:val="53"/>
                    <w:rPr>
                      <w:rFonts w:hint="default" w:ascii="Times New Roman" w:hAnsi="Times New Roman" w:cs="Times New Roman"/>
                      <w:color w:val="auto"/>
                    </w:rPr>
                  </w:pPr>
                  <w:r>
                    <w:rPr>
                      <w:rFonts w:hint="default" w:ascii="Times New Roman" w:hAnsi="Times New Roman" w:cs="Times New Roman"/>
                      <w:color w:val="auto"/>
                    </w:rPr>
                    <w:t>监测频次</w:t>
                  </w:r>
                </w:p>
              </w:tc>
              <w:tc>
                <w:tcPr>
                  <w:tcW w:w="1833" w:type="dxa"/>
                  <w:noWrap w:val="0"/>
                  <w:vAlign w:val="center"/>
                </w:tcPr>
                <w:p>
                  <w:pPr>
                    <w:pStyle w:val="53"/>
                    <w:rPr>
                      <w:rFonts w:hint="default" w:ascii="Times New Roman" w:hAnsi="Times New Roman" w:cs="Times New Roman"/>
                      <w:color w:val="auto"/>
                    </w:rPr>
                  </w:pPr>
                  <w:r>
                    <w:rPr>
                      <w:rFonts w:hint="default" w:ascii="Times New Roman" w:hAnsi="Times New Roman" w:cs="Times New Roman"/>
                      <w:color w:val="auto"/>
                    </w:rPr>
                    <w:t>限值要求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89" w:type="dxa"/>
                  <w:noWrap w:val="0"/>
                  <w:vAlign w:val="center"/>
                </w:tcPr>
                <w:p>
                  <w:pPr>
                    <w:pStyle w:val="53"/>
                    <w:rPr>
                      <w:rFonts w:hint="default" w:ascii="Times New Roman" w:hAnsi="Times New Roman" w:cs="Times New Roman"/>
                      <w:color w:val="auto"/>
                    </w:rPr>
                  </w:pPr>
                  <w:r>
                    <w:rPr>
                      <w:rFonts w:hint="default" w:ascii="Times New Roman" w:hAnsi="Times New Roman" w:cs="Times New Roman"/>
                      <w:color w:val="auto"/>
                    </w:rPr>
                    <w:t>个人剂量</w:t>
                  </w:r>
                </w:p>
              </w:tc>
              <w:tc>
                <w:tcPr>
                  <w:tcW w:w="1417" w:type="dxa"/>
                  <w:noWrap w:val="0"/>
                  <w:vAlign w:val="center"/>
                </w:tcPr>
                <w:p>
                  <w:pPr>
                    <w:pStyle w:val="53"/>
                    <w:rPr>
                      <w:rFonts w:hint="default" w:ascii="Times New Roman" w:hAnsi="Times New Roman" w:cs="Times New Roman"/>
                      <w:color w:val="auto"/>
                    </w:rPr>
                  </w:pPr>
                  <w:r>
                    <w:rPr>
                      <w:rFonts w:hint="default" w:ascii="Times New Roman" w:hAnsi="Times New Roman" w:cs="Times New Roman"/>
                      <w:color w:val="auto"/>
                    </w:rPr>
                    <w:t>外照射剂量</w:t>
                  </w:r>
                </w:p>
              </w:tc>
              <w:tc>
                <w:tcPr>
                  <w:tcW w:w="2126" w:type="dxa"/>
                  <w:noWrap w:val="0"/>
                  <w:vAlign w:val="center"/>
                </w:tcPr>
                <w:p>
                  <w:pPr>
                    <w:pStyle w:val="53"/>
                    <w:rPr>
                      <w:rFonts w:hint="default" w:ascii="Times New Roman" w:hAnsi="Times New Roman" w:cs="Times New Roman"/>
                      <w:color w:val="auto"/>
                    </w:rPr>
                  </w:pPr>
                  <w:r>
                    <w:rPr>
                      <w:rFonts w:hint="default" w:ascii="Times New Roman" w:hAnsi="Times New Roman" w:cs="Times New Roman"/>
                      <w:color w:val="auto"/>
                    </w:rPr>
                    <w:t>每个季度</w:t>
                  </w:r>
                </w:p>
              </w:tc>
              <w:tc>
                <w:tcPr>
                  <w:tcW w:w="1833" w:type="dxa"/>
                  <w:noWrap w:val="0"/>
                  <w:vAlign w:val="center"/>
                </w:tcPr>
                <w:p>
                  <w:pPr>
                    <w:pStyle w:val="53"/>
                    <w:rPr>
                      <w:rFonts w:hint="default" w:ascii="Times New Roman" w:hAnsi="Times New Roman" w:cs="Times New Roman"/>
                      <w:color w:val="auto"/>
                    </w:rPr>
                  </w:pPr>
                  <w:r>
                    <w:rPr>
                      <w:rFonts w:hint="default" w:ascii="Times New Roman" w:hAnsi="Times New Roman" w:cs="Times New Roman"/>
                      <w:color w:val="auto"/>
                    </w:rPr>
                    <w:t>根据评价要求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89" w:type="dxa"/>
                  <w:noWrap w:val="0"/>
                  <w:vAlign w:val="center"/>
                </w:tcPr>
                <w:p>
                  <w:pPr>
                    <w:pStyle w:val="53"/>
                    <w:rPr>
                      <w:rFonts w:hint="default" w:ascii="Times New Roman" w:hAnsi="Times New Roman" w:cs="Times New Roman"/>
                      <w:color w:val="auto"/>
                      <w:kern w:val="0"/>
                    </w:rPr>
                  </w:pPr>
                  <w:r>
                    <w:rPr>
                      <w:rFonts w:hint="default" w:ascii="Times New Roman" w:hAnsi="Times New Roman" w:cs="Times New Roman"/>
                      <w:color w:val="auto"/>
                      <w:kern w:val="0"/>
                    </w:rPr>
                    <w:t>探伤室四周及顶棚墙体、防护门外30cm处；</w:t>
                  </w:r>
                </w:p>
                <w:p>
                  <w:pPr>
                    <w:pStyle w:val="53"/>
                    <w:rPr>
                      <w:rFonts w:hint="default" w:ascii="Times New Roman" w:hAnsi="Times New Roman" w:cs="Times New Roman"/>
                      <w:color w:val="auto"/>
                    </w:rPr>
                  </w:pPr>
                  <w:r>
                    <w:rPr>
                      <w:rFonts w:hint="default" w:ascii="Times New Roman" w:hAnsi="Times New Roman" w:cs="Times New Roman"/>
                      <w:color w:val="auto"/>
                      <w:kern w:val="0"/>
                    </w:rPr>
                    <w:t>探伤室防护门及缝隙处，电缆及管道的出入口</w:t>
                  </w:r>
                </w:p>
              </w:tc>
              <w:tc>
                <w:tcPr>
                  <w:tcW w:w="1417" w:type="dxa"/>
                  <w:noWrap w:val="0"/>
                  <w:vAlign w:val="center"/>
                </w:tcPr>
                <w:p>
                  <w:pPr>
                    <w:pStyle w:val="53"/>
                    <w:rPr>
                      <w:rFonts w:hint="default" w:ascii="Times New Roman" w:hAnsi="Times New Roman" w:cs="Times New Roman"/>
                      <w:color w:val="auto"/>
                    </w:rPr>
                  </w:pPr>
                  <w:r>
                    <w:rPr>
                      <w:rFonts w:hint="default" w:ascii="Times New Roman" w:hAnsi="Times New Roman" w:cs="Times New Roman"/>
                      <w:color w:val="auto"/>
                    </w:rPr>
                    <w:t>剂量率</w:t>
                  </w:r>
                </w:p>
              </w:tc>
              <w:tc>
                <w:tcPr>
                  <w:tcW w:w="2126" w:type="dxa"/>
                  <w:noWrap w:val="0"/>
                  <w:vAlign w:val="center"/>
                </w:tcPr>
                <w:p>
                  <w:pPr>
                    <w:pStyle w:val="53"/>
                    <w:rPr>
                      <w:rFonts w:hint="default" w:ascii="Times New Roman" w:hAnsi="Times New Roman" w:cs="Times New Roman"/>
                      <w:color w:val="auto"/>
                    </w:rPr>
                  </w:pPr>
                  <w:r>
                    <w:rPr>
                      <w:rFonts w:hint="default" w:ascii="Times New Roman" w:hAnsi="Times New Roman" w:cs="Times New Roman"/>
                      <w:color w:val="auto"/>
                    </w:rPr>
                    <w:t>委托监测：一年一次</w:t>
                  </w:r>
                </w:p>
                <w:p>
                  <w:pPr>
                    <w:pStyle w:val="53"/>
                    <w:rPr>
                      <w:rFonts w:hint="default" w:ascii="Times New Roman" w:hAnsi="Times New Roman" w:cs="Times New Roman"/>
                      <w:color w:val="auto"/>
                    </w:rPr>
                  </w:pPr>
                  <w:r>
                    <w:rPr>
                      <w:rFonts w:hint="default" w:ascii="Times New Roman" w:hAnsi="Times New Roman" w:cs="Times New Roman"/>
                      <w:color w:val="auto"/>
                    </w:rPr>
                    <w:t>企业自检：每月一次</w:t>
                  </w:r>
                </w:p>
              </w:tc>
              <w:tc>
                <w:tcPr>
                  <w:tcW w:w="1833" w:type="dxa"/>
                  <w:noWrap w:val="0"/>
                  <w:vAlign w:val="center"/>
                </w:tcPr>
                <w:p>
                  <w:pPr>
                    <w:pStyle w:val="53"/>
                    <w:rPr>
                      <w:rFonts w:hint="default" w:ascii="Times New Roman" w:hAnsi="Times New Roman" w:cs="Times New Roman"/>
                      <w:color w:val="auto"/>
                    </w:rPr>
                  </w:pPr>
                  <w:r>
                    <w:rPr>
                      <w:rFonts w:hint="default" w:ascii="Times New Roman" w:hAnsi="Times New Roman" w:cs="Times New Roman"/>
                      <w:color w:val="auto"/>
                      <w:kern w:val="0"/>
                    </w:rPr>
                    <w:t>周围剂量当量率不大于2.5μSv/h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689" w:type="dxa"/>
                  <w:noWrap w:val="0"/>
                  <w:vAlign w:val="center"/>
                </w:tcPr>
                <w:p>
                  <w:pPr>
                    <w:pStyle w:val="53"/>
                    <w:rPr>
                      <w:rFonts w:hint="default" w:ascii="Times New Roman" w:hAnsi="Times New Roman" w:cs="Times New Roman"/>
                      <w:color w:val="auto"/>
                    </w:rPr>
                  </w:pPr>
                  <w:r>
                    <w:rPr>
                      <w:rFonts w:hint="default" w:ascii="Times New Roman" w:hAnsi="Times New Roman" w:cs="Times New Roman"/>
                      <w:color w:val="auto"/>
                      <w:kern w:val="0"/>
                    </w:rPr>
                    <w:t>门机联锁、工作指示灯、警示标识、急停开关、视频监控系统、便携式剂量报警仪、通风装置</w:t>
                  </w:r>
                </w:p>
              </w:tc>
              <w:tc>
                <w:tcPr>
                  <w:tcW w:w="1417" w:type="dxa"/>
                  <w:noWrap w:val="0"/>
                  <w:vAlign w:val="center"/>
                </w:tcPr>
                <w:p>
                  <w:pPr>
                    <w:pStyle w:val="53"/>
                    <w:rPr>
                      <w:rFonts w:hint="default" w:ascii="Times New Roman" w:hAnsi="Times New Roman" w:cs="Times New Roman"/>
                      <w:color w:val="auto"/>
                    </w:rPr>
                  </w:pPr>
                  <w:r>
                    <w:rPr>
                      <w:rFonts w:hint="default" w:ascii="Times New Roman" w:hAnsi="Times New Roman" w:cs="Times New Roman"/>
                      <w:color w:val="auto"/>
                    </w:rPr>
                    <w:t>/</w:t>
                  </w:r>
                </w:p>
              </w:tc>
              <w:tc>
                <w:tcPr>
                  <w:tcW w:w="2126" w:type="dxa"/>
                  <w:noWrap w:val="0"/>
                  <w:vAlign w:val="center"/>
                </w:tcPr>
                <w:p>
                  <w:pPr>
                    <w:pStyle w:val="53"/>
                    <w:rPr>
                      <w:rFonts w:hint="default" w:ascii="Times New Roman" w:hAnsi="Times New Roman" w:cs="Times New Roman"/>
                      <w:color w:val="auto"/>
                    </w:rPr>
                  </w:pPr>
                  <w:r>
                    <w:rPr>
                      <w:rFonts w:hint="default" w:ascii="Times New Roman" w:hAnsi="Times New Roman" w:cs="Times New Roman"/>
                      <w:color w:val="auto"/>
                    </w:rPr>
                    <w:t>每月自检</w:t>
                  </w:r>
                </w:p>
              </w:tc>
              <w:tc>
                <w:tcPr>
                  <w:tcW w:w="1833" w:type="dxa"/>
                  <w:noWrap w:val="0"/>
                  <w:vAlign w:val="center"/>
                </w:tcPr>
                <w:p>
                  <w:pPr>
                    <w:pStyle w:val="53"/>
                    <w:rPr>
                      <w:rFonts w:hint="default" w:ascii="Times New Roman" w:hAnsi="Times New Roman" w:cs="Times New Roman"/>
                      <w:color w:val="auto"/>
                    </w:rPr>
                  </w:pPr>
                  <w:r>
                    <w:rPr>
                      <w:rFonts w:hint="default" w:ascii="Times New Roman" w:hAnsi="Times New Roman" w:cs="Times New Roman"/>
                      <w:color w:val="auto"/>
                    </w:rPr>
                    <w:t>相关装置有效运转</w:t>
                  </w:r>
                </w:p>
              </w:tc>
            </w:tr>
          </w:tbl>
          <w:p>
            <w:pPr>
              <w:pStyle w:val="45"/>
              <w:spacing w:before="156" w:after="156"/>
              <w:rPr>
                <w:rFonts w:hint="default" w:ascii="Times New Roman" w:hAnsi="Times New Roman" w:cs="Times New Roman"/>
                <w:color w:val="auto"/>
              </w:rPr>
            </w:pPr>
            <w:r>
              <w:rPr>
                <w:rFonts w:hint="default" w:ascii="Times New Roman" w:hAnsi="Times New Roman" w:cs="Times New Roman"/>
                <w:color w:val="auto"/>
              </w:rPr>
              <w:t>12.4辐射事故应急</w:t>
            </w:r>
          </w:p>
          <w:p>
            <w:pPr>
              <w:pStyle w:val="47"/>
              <w:rPr>
                <w:rFonts w:hint="default" w:ascii="Times New Roman" w:hAnsi="Times New Roman" w:cs="Times New Roman"/>
                <w:color w:val="auto"/>
                <w:kern w:val="0"/>
              </w:rPr>
            </w:pPr>
            <w:r>
              <w:rPr>
                <w:rFonts w:hint="default" w:ascii="Times New Roman" w:hAnsi="Times New Roman" w:cs="Times New Roman"/>
                <w:color w:val="auto"/>
                <w:kern w:val="0"/>
              </w:rPr>
              <w:t>公司根据相关法律法规，并结合公司实际情况，已制定了辐射安全处理措施。</w:t>
            </w:r>
          </w:p>
          <w:p>
            <w:pPr>
              <w:pStyle w:val="47"/>
              <w:rPr>
                <w:rFonts w:hint="default" w:ascii="Times New Roman" w:hAnsi="Times New Roman" w:cs="Times New Roman"/>
                <w:color w:val="auto"/>
                <w:kern w:val="0"/>
              </w:rPr>
            </w:pPr>
            <w:r>
              <w:rPr>
                <w:rFonts w:hint="default" w:ascii="Times New Roman" w:hAnsi="Times New Roman" w:cs="Times New Roman"/>
                <w:color w:val="auto"/>
                <w:kern w:val="0"/>
              </w:rPr>
              <w:t>一旦出现事故，采取以下应急措施：</w:t>
            </w:r>
          </w:p>
          <w:p>
            <w:pPr>
              <w:pStyle w:val="47"/>
              <w:rPr>
                <w:rFonts w:hint="default" w:ascii="Times New Roman" w:hAnsi="Times New Roman" w:cs="Times New Roman"/>
                <w:color w:val="auto"/>
                <w:kern w:val="0"/>
              </w:rPr>
            </w:pPr>
            <w:r>
              <w:rPr>
                <w:rFonts w:hint="default" w:ascii="Times New Roman" w:hAnsi="Times New Roman" w:cs="Times New Roman"/>
                <w:color w:val="auto"/>
                <w:kern w:val="0"/>
              </w:rPr>
              <w:t>（1）射线装置运行过程中发生辐射事故，必须紧急停机，中止照射。</w:t>
            </w:r>
          </w:p>
          <w:p>
            <w:pPr>
              <w:pStyle w:val="47"/>
              <w:rPr>
                <w:rFonts w:hint="default" w:ascii="Times New Roman" w:hAnsi="Times New Roman" w:cs="Times New Roman"/>
                <w:color w:val="auto"/>
                <w:kern w:val="0"/>
              </w:rPr>
            </w:pPr>
            <w:r>
              <w:rPr>
                <w:rFonts w:hint="default" w:ascii="Times New Roman" w:hAnsi="Times New Roman" w:cs="Times New Roman"/>
                <w:color w:val="auto"/>
                <w:kern w:val="0"/>
              </w:rPr>
              <w:t>（2）保存控制器上的照射记录，不得随意更改，为以后的事故处理留下依据。</w:t>
            </w:r>
          </w:p>
          <w:p>
            <w:pPr>
              <w:pStyle w:val="47"/>
              <w:rPr>
                <w:rFonts w:hint="default" w:ascii="Times New Roman" w:hAnsi="Times New Roman" w:cs="Times New Roman"/>
                <w:color w:val="auto"/>
                <w:kern w:val="0"/>
              </w:rPr>
            </w:pPr>
            <w:r>
              <w:rPr>
                <w:rFonts w:hint="default" w:ascii="Times New Roman" w:hAnsi="Times New Roman" w:cs="Times New Roman"/>
                <w:color w:val="auto"/>
                <w:kern w:val="0"/>
              </w:rPr>
              <w:t>（3）发生辐射安全事故后首先向公司内部管理部门报告，并在2小时时间内向生态环境主管部门及卫生行政部门报告。报告联系电话如下</w:t>
            </w:r>
          </w:p>
          <w:p>
            <w:pPr>
              <w:pStyle w:val="47"/>
              <w:rPr>
                <w:rFonts w:hint="default" w:ascii="Times New Roman" w:hAnsi="Times New Roman" w:cs="Times New Roman"/>
                <w:color w:val="auto"/>
                <w:kern w:val="0"/>
                <w:u w:val="none"/>
              </w:rPr>
            </w:pPr>
            <w:r>
              <w:rPr>
                <w:rFonts w:hint="default" w:ascii="Times New Roman" w:hAnsi="Times New Roman" w:cs="Times New Roman"/>
                <w:color w:val="auto"/>
                <w:kern w:val="0"/>
                <w:u w:val="none"/>
              </w:rPr>
              <w:t>市公安局电话：110</w:t>
            </w:r>
          </w:p>
          <w:p>
            <w:pPr>
              <w:pStyle w:val="47"/>
              <w:rPr>
                <w:rFonts w:hint="default" w:ascii="Times New Roman" w:hAnsi="Times New Roman" w:cs="Times New Roman"/>
                <w:color w:val="auto"/>
                <w:kern w:val="0"/>
                <w:u w:val="none"/>
              </w:rPr>
            </w:pPr>
            <w:r>
              <w:rPr>
                <w:rFonts w:hint="default" w:ascii="Times New Roman" w:hAnsi="Times New Roman" w:cs="Times New Roman"/>
                <w:color w:val="auto"/>
                <w:kern w:val="0"/>
                <w:u w:val="none"/>
              </w:rPr>
              <w:t>市生态环境局：12369</w:t>
            </w:r>
          </w:p>
          <w:p>
            <w:pPr>
              <w:pStyle w:val="47"/>
              <w:rPr>
                <w:rFonts w:hint="default" w:ascii="Times New Roman" w:hAnsi="Times New Roman" w:cs="Times New Roman"/>
                <w:color w:val="auto"/>
                <w:kern w:val="0"/>
                <w:u w:val="none"/>
              </w:rPr>
            </w:pPr>
            <w:r>
              <w:rPr>
                <w:rFonts w:hint="default" w:ascii="Times New Roman" w:hAnsi="Times New Roman" w:cs="Times New Roman"/>
                <w:color w:val="auto"/>
                <w:kern w:val="0"/>
                <w:u w:val="none"/>
              </w:rPr>
              <w:t>市卫生健康委员会：12320</w:t>
            </w:r>
          </w:p>
          <w:p>
            <w:pPr>
              <w:pStyle w:val="47"/>
              <w:rPr>
                <w:rFonts w:hint="default" w:ascii="Times New Roman" w:hAnsi="Times New Roman" w:eastAsia="宋体" w:cs="Times New Roman"/>
                <w:color w:val="auto"/>
                <w:kern w:val="0"/>
                <w:u w:val="none"/>
                <w:lang w:val="en-US" w:eastAsia="zh-CN"/>
              </w:rPr>
            </w:pPr>
            <w:r>
              <w:rPr>
                <w:rFonts w:hint="default" w:ascii="Times New Roman" w:hAnsi="Times New Roman" w:cs="Times New Roman"/>
                <w:color w:val="auto"/>
                <w:kern w:val="0"/>
                <w:u w:val="none"/>
              </w:rPr>
              <w:t>省生态环境厅辐射处：0731-85698</w:t>
            </w:r>
            <w:r>
              <w:rPr>
                <w:rFonts w:hint="eastAsia" w:cs="Times New Roman"/>
                <w:color w:val="auto"/>
                <w:kern w:val="0"/>
                <w:u w:val="none"/>
                <w:lang w:val="en-US" w:eastAsia="zh-CN"/>
              </w:rPr>
              <w:t>110</w:t>
            </w:r>
          </w:p>
          <w:p>
            <w:pPr>
              <w:pStyle w:val="47"/>
              <w:rPr>
                <w:rFonts w:hint="default" w:ascii="Times New Roman" w:hAnsi="Times New Roman" w:cs="Times New Roman"/>
                <w:color w:val="auto"/>
                <w:kern w:val="0"/>
              </w:rPr>
            </w:pPr>
            <w:r>
              <w:rPr>
                <w:rFonts w:hint="default" w:ascii="Times New Roman" w:hAnsi="Times New Roman" w:cs="Times New Roman"/>
                <w:color w:val="auto"/>
                <w:kern w:val="0"/>
              </w:rPr>
              <w:t>（4）对可能受到辐射伤害人员，事故单位应当立即将其送至当地卫生部门指定的医院或者有条件救治辐射伤病人的医院，进行检查和治疗，或者请求医院立即派人赶赴事故现场，采取救治措施。</w:t>
            </w:r>
          </w:p>
          <w:p>
            <w:pPr>
              <w:pStyle w:val="47"/>
              <w:rPr>
                <w:rFonts w:hint="default" w:ascii="Times New Roman" w:hAnsi="Times New Roman" w:cs="Times New Roman"/>
                <w:color w:val="auto"/>
                <w:kern w:val="0"/>
              </w:rPr>
            </w:pPr>
            <w:r>
              <w:rPr>
                <w:rFonts w:hint="default" w:ascii="Times New Roman" w:hAnsi="Times New Roman" w:cs="Times New Roman"/>
                <w:color w:val="auto"/>
                <w:kern w:val="0"/>
              </w:rPr>
              <w:t>（5）配合相关部门作好事故调查处理，并作好事故的善后工作。</w:t>
            </w:r>
          </w:p>
          <w:p>
            <w:pPr>
              <w:pStyle w:val="47"/>
              <w:rPr>
                <w:rFonts w:hint="default" w:ascii="Times New Roman" w:hAnsi="Times New Roman" w:cs="Times New Roman"/>
                <w:color w:val="auto"/>
                <w:kern w:val="0"/>
              </w:rPr>
            </w:pPr>
            <w:r>
              <w:rPr>
                <w:rFonts w:hint="default" w:ascii="Times New Roman" w:hAnsi="Times New Roman" w:cs="Times New Roman"/>
                <w:color w:val="auto"/>
                <w:kern w:val="0"/>
              </w:rPr>
              <w:t>（6）查找事故原因，排除事故隐患，总结事故发生、处理事故、防止事故的经验教训，杜绝事故的再次发生。</w:t>
            </w:r>
          </w:p>
          <w:p>
            <w:pPr>
              <w:pStyle w:val="47"/>
              <w:rPr>
                <w:rFonts w:hint="default" w:ascii="Times New Roman" w:hAnsi="Times New Roman" w:cs="Times New Roman"/>
                <w:color w:val="auto"/>
                <w:kern w:val="0"/>
              </w:rPr>
            </w:pPr>
            <w:r>
              <w:rPr>
                <w:rFonts w:hint="default" w:ascii="Times New Roman" w:hAnsi="Times New Roman" w:cs="Times New Roman"/>
                <w:color w:val="auto"/>
                <w:kern w:val="0"/>
              </w:rPr>
              <w:t>同时建设单位应当加强日常事故演习及放射事故的预防工作，辐射工作管理及操作人员树立良好的辐射防护安全意识，培养良好的安全意识。包括以下几点：</w:t>
            </w:r>
          </w:p>
          <w:p>
            <w:pPr>
              <w:pStyle w:val="47"/>
              <w:rPr>
                <w:rFonts w:hint="default" w:ascii="Times New Roman" w:hAnsi="Times New Roman" w:cs="Times New Roman"/>
                <w:color w:val="auto"/>
                <w:kern w:val="0"/>
              </w:rPr>
            </w:pPr>
            <w:r>
              <w:rPr>
                <w:rFonts w:hint="default" w:ascii="Times New Roman" w:hAnsi="Times New Roman" w:cs="Times New Roman"/>
                <w:color w:val="auto"/>
                <w:kern w:val="0"/>
              </w:rPr>
              <w:t>①辐射工作人员必须加强专业知识学习，加强防护知识培训，避免犯常识性错误。加强职业道德修养，增强责任感，严格遵守操作规程和规章制度。</w:t>
            </w:r>
          </w:p>
          <w:p>
            <w:pPr>
              <w:pStyle w:val="47"/>
              <w:rPr>
                <w:rFonts w:hint="default" w:ascii="Times New Roman" w:hAnsi="Times New Roman" w:cs="Times New Roman"/>
                <w:color w:val="auto"/>
                <w:kern w:val="0"/>
              </w:rPr>
            </w:pPr>
            <w:r>
              <w:rPr>
                <w:rFonts w:hint="default" w:ascii="Times New Roman" w:hAnsi="Times New Roman" w:cs="Times New Roman"/>
                <w:color w:val="auto"/>
                <w:kern w:val="0"/>
              </w:rPr>
              <w:t>②严格执行建设项目三同时制度，消除潜在的事故隐患，保证辐射防护设施与主体工程同时设计、同时施工、同时投入使用。</w:t>
            </w:r>
          </w:p>
          <w:p>
            <w:pPr>
              <w:pStyle w:val="47"/>
              <w:rPr>
                <w:rFonts w:hint="default" w:ascii="Times New Roman" w:hAnsi="Times New Roman" w:cs="Times New Roman"/>
                <w:color w:val="auto"/>
                <w:kern w:val="0"/>
              </w:rPr>
            </w:pPr>
            <w:r>
              <w:rPr>
                <w:rFonts w:hint="default" w:ascii="Times New Roman" w:hAnsi="Times New Roman" w:cs="Times New Roman"/>
                <w:color w:val="auto"/>
                <w:kern w:val="0"/>
              </w:rPr>
              <w:t>③加强辐射安全防护知识的宣传工作，开展法规教育。</w:t>
            </w:r>
          </w:p>
          <w:p>
            <w:pPr>
              <w:pStyle w:val="45"/>
              <w:spacing w:before="156" w:after="156"/>
              <w:rPr>
                <w:rFonts w:hint="default" w:ascii="Times New Roman" w:hAnsi="Times New Roman" w:cs="Times New Roman"/>
                <w:color w:val="auto"/>
              </w:rPr>
            </w:pPr>
            <w:r>
              <w:rPr>
                <w:rFonts w:hint="default" w:ascii="Times New Roman" w:hAnsi="Times New Roman" w:cs="Times New Roman"/>
                <w:color w:val="auto"/>
              </w:rPr>
              <w:t>12.5辐射安全与管理投资估算</w:t>
            </w:r>
          </w:p>
          <w:p>
            <w:pPr>
              <w:pStyle w:val="49"/>
              <w:rPr>
                <w:rFonts w:hint="default" w:ascii="Times New Roman" w:hAnsi="Times New Roman" w:cs="Times New Roman"/>
                <w:color w:val="auto"/>
              </w:rPr>
            </w:pPr>
            <w:r>
              <w:rPr>
                <w:rFonts w:hint="default" w:ascii="Times New Roman" w:hAnsi="Times New Roman" w:cs="Times New Roman"/>
                <w:color w:val="auto"/>
              </w:rPr>
              <w:t>表12-3辐射安全与管理投资估算</w:t>
            </w: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3"/>
              <w:gridCol w:w="4315"/>
              <w:gridCol w:w="14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3" w:type="dxa"/>
                  <w:noWrap w:val="0"/>
                  <w:vAlign w:val="center"/>
                </w:tcPr>
                <w:p>
                  <w:pPr>
                    <w:pStyle w:val="53"/>
                    <w:rPr>
                      <w:rFonts w:hint="default" w:ascii="Times New Roman" w:hAnsi="Times New Roman" w:cs="Times New Roman"/>
                      <w:b/>
                      <w:color w:val="auto"/>
                    </w:rPr>
                  </w:pPr>
                  <w:r>
                    <w:rPr>
                      <w:rFonts w:hint="default" w:ascii="Times New Roman" w:hAnsi="Times New Roman" w:cs="Times New Roman"/>
                      <w:b/>
                      <w:color w:val="auto"/>
                    </w:rPr>
                    <w:t>内容</w:t>
                  </w:r>
                </w:p>
              </w:tc>
              <w:tc>
                <w:tcPr>
                  <w:tcW w:w="4315" w:type="dxa"/>
                  <w:noWrap w:val="0"/>
                  <w:vAlign w:val="center"/>
                </w:tcPr>
                <w:p>
                  <w:pPr>
                    <w:pStyle w:val="53"/>
                    <w:rPr>
                      <w:rFonts w:hint="default" w:ascii="Times New Roman" w:hAnsi="Times New Roman" w:cs="Times New Roman"/>
                      <w:b/>
                      <w:color w:val="auto"/>
                    </w:rPr>
                  </w:pPr>
                  <w:r>
                    <w:rPr>
                      <w:rFonts w:hint="default" w:ascii="Times New Roman" w:hAnsi="Times New Roman" w:cs="Times New Roman"/>
                      <w:b/>
                      <w:color w:val="auto"/>
                    </w:rPr>
                    <w:t>措施</w:t>
                  </w:r>
                </w:p>
              </w:tc>
              <w:tc>
                <w:tcPr>
                  <w:tcW w:w="1487" w:type="dxa"/>
                  <w:noWrap w:val="0"/>
                  <w:vAlign w:val="center"/>
                </w:tcPr>
                <w:p>
                  <w:pPr>
                    <w:pStyle w:val="53"/>
                    <w:rPr>
                      <w:rFonts w:hint="default" w:ascii="Times New Roman" w:hAnsi="Times New Roman" w:cs="Times New Roman"/>
                      <w:b/>
                      <w:color w:val="auto"/>
                    </w:rPr>
                  </w:pPr>
                  <w:r>
                    <w:rPr>
                      <w:rFonts w:hint="default" w:ascii="Times New Roman" w:hAnsi="Times New Roman" w:cs="Times New Roman"/>
                      <w:b/>
                      <w:color w:val="auto"/>
                    </w:rPr>
                    <w:t>投资（万元）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3" w:type="dxa"/>
                  <w:noWrap w:val="0"/>
                  <w:vAlign w:val="center"/>
                </w:tcPr>
                <w:p>
                  <w:pPr>
                    <w:pStyle w:val="53"/>
                    <w:rPr>
                      <w:rFonts w:hint="default" w:ascii="Times New Roman" w:hAnsi="Times New Roman" w:cs="Times New Roman"/>
                      <w:b w:val="0"/>
                      <w:bCs/>
                      <w:color w:val="auto"/>
                    </w:rPr>
                  </w:pPr>
                  <w:r>
                    <w:rPr>
                      <w:rFonts w:hint="default" w:ascii="Times New Roman" w:hAnsi="Times New Roman" w:cs="Times New Roman"/>
                      <w:b w:val="0"/>
                      <w:bCs/>
                      <w:color w:val="auto"/>
                    </w:rPr>
                    <w:t>探伤室屏蔽设施建设</w:t>
                  </w:r>
                </w:p>
              </w:tc>
              <w:tc>
                <w:tcPr>
                  <w:tcW w:w="4315" w:type="dxa"/>
                  <w:noWrap w:val="0"/>
                  <w:vAlign w:val="center"/>
                </w:tcPr>
                <w:p>
                  <w:pPr>
                    <w:pStyle w:val="53"/>
                    <w:rPr>
                      <w:rFonts w:hint="default" w:ascii="Times New Roman" w:hAnsi="Times New Roman" w:cs="Times New Roman"/>
                      <w:b w:val="0"/>
                      <w:bCs/>
                      <w:color w:val="auto"/>
                    </w:rPr>
                  </w:pPr>
                  <w:r>
                    <w:rPr>
                      <w:rFonts w:hint="default" w:ascii="Times New Roman" w:hAnsi="Times New Roman" w:cs="Times New Roman"/>
                      <w:b w:val="0"/>
                      <w:bCs/>
                      <w:color w:val="auto"/>
                    </w:rPr>
                    <w:t>实体建筑建设</w:t>
                  </w:r>
                </w:p>
              </w:tc>
              <w:tc>
                <w:tcPr>
                  <w:tcW w:w="1487" w:type="dxa"/>
                  <w:noWrap w:val="0"/>
                  <w:vAlign w:val="center"/>
                </w:tcPr>
                <w:p>
                  <w:pPr>
                    <w:pStyle w:val="53"/>
                    <w:rPr>
                      <w:rFonts w:hint="default" w:ascii="Times New Roman" w:hAnsi="Times New Roman" w:eastAsia="宋体" w:cs="Times New Roman"/>
                      <w:b w:val="0"/>
                      <w:bCs/>
                      <w:color w:val="auto"/>
                      <w:lang w:val="en-US" w:eastAsia="zh-CN"/>
                    </w:rPr>
                  </w:pPr>
                  <w:r>
                    <w:rPr>
                      <w:rFonts w:hint="eastAsia" w:cs="Times New Roman"/>
                      <w:b w:val="0"/>
                      <w:bCs/>
                      <w:color w:val="auto"/>
                      <w:lang w:val="en-US" w:eastAsia="zh-CN"/>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3" w:type="dxa"/>
                  <w:noWrap w:val="0"/>
                  <w:vAlign w:val="center"/>
                </w:tcPr>
                <w:p>
                  <w:pPr>
                    <w:pStyle w:val="53"/>
                    <w:rPr>
                      <w:rFonts w:hint="default" w:ascii="Times New Roman" w:hAnsi="Times New Roman" w:cs="Times New Roman"/>
                      <w:color w:val="auto"/>
                    </w:rPr>
                  </w:pPr>
                  <w:r>
                    <w:rPr>
                      <w:rFonts w:hint="default" w:ascii="Times New Roman" w:hAnsi="Times New Roman" w:cs="Times New Roman"/>
                      <w:color w:val="auto"/>
                    </w:rPr>
                    <w:t>管理制度、应急措施</w:t>
                  </w:r>
                </w:p>
              </w:tc>
              <w:tc>
                <w:tcPr>
                  <w:tcW w:w="4315" w:type="dxa"/>
                  <w:noWrap w:val="0"/>
                  <w:vAlign w:val="center"/>
                </w:tcPr>
                <w:p>
                  <w:pPr>
                    <w:pStyle w:val="53"/>
                    <w:rPr>
                      <w:rFonts w:hint="default" w:ascii="Times New Roman" w:hAnsi="Times New Roman" w:cs="Times New Roman"/>
                      <w:color w:val="auto"/>
                    </w:rPr>
                  </w:pPr>
                  <w:r>
                    <w:rPr>
                      <w:rFonts w:hint="default" w:ascii="Times New Roman" w:hAnsi="Times New Roman" w:cs="Times New Roman"/>
                      <w:color w:val="auto"/>
                    </w:rPr>
                    <w:t>制作图框，上墙</w:t>
                  </w:r>
                </w:p>
              </w:tc>
              <w:tc>
                <w:tcPr>
                  <w:tcW w:w="1487" w:type="dxa"/>
                  <w:noWrap w:val="0"/>
                  <w:vAlign w:val="center"/>
                </w:tcPr>
                <w:p>
                  <w:pPr>
                    <w:pStyle w:val="53"/>
                    <w:rPr>
                      <w:rFonts w:hint="eastAsia" w:ascii="Times New Roman" w:hAnsi="Times New Roman" w:eastAsia="宋体" w:cs="Times New Roman"/>
                      <w:color w:val="auto"/>
                      <w:lang w:eastAsia="zh-CN"/>
                    </w:rPr>
                  </w:pPr>
                  <w:r>
                    <w:rPr>
                      <w:rFonts w:hint="default" w:ascii="Times New Roman" w:hAnsi="Times New Roman" w:cs="Times New Roman"/>
                      <w:color w:val="auto"/>
                    </w:rPr>
                    <w:t>0.</w:t>
                  </w:r>
                  <w:r>
                    <w:rPr>
                      <w:rFonts w:hint="eastAsia" w:cs="Times New Roman"/>
                      <w:color w:val="auto"/>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3" w:type="dxa"/>
                  <w:noWrap w:val="0"/>
                  <w:vAlign w:val="center"/>
                </w:tcPr>
                <w:p>
                  <w:pPr>
                    <w:pStyle w:val="53"/>
                    <w:rPr>
                      <w:rFonts w:hint="default" w:ascii="Times New Roman" w:hAnsi="Times New Roman" w:cs="Times New Roman"/>
                      <w:color w:val="auto"/>
                    </w:rPr>
                  </w:pPr>
                  <w:r>
                    <w:rPr>
                      <w:rFonts w:hint="default" w:ascii="Times New Roman" w:hAnsi="Times New Roman" w:cs="Times New Roman"/>
                      <w:color w:val="auto"/>
                    </w:rPr>
                    <w:t>警示标志</w:t>
                  </w:r>
                </w:p>
              </w:tc>
              <w:tc>
                <w:tcPr>
                  <w:tcW w:w="4315" w:type="dxa"/>
                  <w:noWrap w:val="0"/>
                  <w:vAlign w:val="center"/>
                </w:tcPr>
                <w:p>
                  <w:pPr>
                    <w:pStyle w:val="53"/>
                    <w:rPr>
                      <w:rFonts w:hint="default" w:ascii="Times New Roman" w:hAnsi="Times New Roman" w:cs="Times New Roman"/>
                      <w:color w:val="auto"/>
                    </w:rPr>
                  </w:pPr>
                  <w:r>
                    <w:rPr>
                      <w:rFonts w:hint="default" w:ascii="Times New Roman" w:hAnsi="Times New Roman" w:cs="Times New Roman"/>
                      <w:color w:val="auto"/>
                    </w:rPr>
                    <w:t>张贴正确，有中文说明</w:t>
                  </w:r>
                </w:p>
              </w:tc>
              <w:tc>
                <w:tcPr>
                  <w:tcW w:w="1487" w:type="dxa"/>
                  <w:noWrap w:val="0"/>
                  <w:vAlign w:val="center"/>
                </w:tcPr>
                <w:p>
                  <w:pPr>
                    <w:pStyle w:val="53"/>
                    <w:rPr>
                      <w:rFonts w:hint="eastAsia" w:ascii="Times New Roman" w:hAnsi="Times New Roman" w:eastAsia="宋体" w:cs="Times New Roman"/>
                      <w:color w:val="auto"/>
                      <w:lang w:eastAsia="zh-CN"/>
                    </w:rPr>
                  </w:pPr>
                  <w:r>
                    <w:rPr>
                      <w:rFonts w:hint="default" w:ascii="Times New Roman" w:hAnsi="Times New Roman" w:cs="Times New Roman"/>
                      <w:color w:val="auto"/>
                    </w:rPr>
                    <w:t>0.</w:t>
                  </w:r>
                  <w:r>
                    <w:rPr>
                      <w:rFonts w:hint="eastAsia" w:cs="Times New Roman"/>
                      <w:color w:val="auto"/>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3" w:type="dxa"/>
                  <w:noWrap w:val="0"/>
                  <w:vAlign w:val="center"/>
                </w:tcPr>
                <w:p>
                  <w:pPr>
                    <w:pStyle w:val="53"/>
                    <w:rPr>
                      <w:rFonts w:hint="default" w:ascii="Times New Roman" w:hAnsi="Times New Roman" w:cs="Times New Roman"/>
                      <w:color w:val="auto"/>
                    </w:rPr>
                  </w:pPr>
                  <w:r>
                    <w:rPr>
                      <w:rFonts w:hint="default" w:ascii="Times New Roman" w:hAnsi="Times New Roman" w:cs="Times New Roman"/>
                      <w:color w:val="auto"/>
                    </w:rPr>
                    <w:t>监测、防护设备配置</w:t>
                  </w:r>
                </w:p>
              </w:tc>
              <w:tc>
                <w:tcPr>
                  <w:tcW w:w="4315" w:type="dxa"/>
                  <w:noWrap w:val="0"/>
                  <w:vAlign w:val="center"/>
                </w:tcPr>
                <w:p>
                  <w:pPr>
                    <w:pStyle w:val="53"/>
                    <w:rPr>
                      <w:rFonts w:hint="default" w:ascii="Times New Roman" w:hAnsi="Times New Roman" w:cs="Times New Roman"/>
                      <w:color w:val="auto"/>
                    </w:rPr>
                  </w:pPr>
                  <w:r>
                    <w:rPr>
                      <w:rFonts w:hint="default" w:ascii="Times New Roman" w:hAnsi="Times New Roman" w:cs="Times New Roman"/>
                      <w:color w:val="auto"/>
                      <w:kern w:val="0"/>
                    </w:rPr>
                    <w:t>配置便携式X－γ射线剂量率测量仪1台、固定式剂量监测报警仪1台、</w:t>
                  </w:r>
                  <w:r>
                    <w:rPr>
                      <w:rFonts w:hint="default" w:ascii="Times New Roman" w:hAnsi="Times New Roman" w:cs="Times New Roman"/>
                      <w:color w:val="auto"/>
                    </w:rPr>
                    <w:t>便携式剂量报警仪</w:t>
                  </w:r>
                  <w:r>
                    <w:rPr>
                      <w:rFonts w:hint="eastAsia" w:cs="Times New Roman"/>
                      <w:color w:val="auto"/>
                      <w:lang w:val="en-US" w:eastAsia="zh-CN"/>
                    </w:rPr>
                    <w:t>3</w:t>
                  </w:r>
                  <w:r>
                    <w:rPr>
                      <w:rFonts w:hint="default" w:ascii="Times New Roman" w:hAnsi="Times New Roman" w:cs="Times New Roman"/>
                      <w:color w:val="auto"/>
                    </w:rPr>
                    <w:t>台、个人剂量计3个</w:t>
                  </w:r>
                </w:p>
              </w:tc>
              <w:tc>
                <w:tcPr>
                  <w:tcW w:w="1487" w:type="dxa"/>
                  <w:noWrap w:val="0"/>
                  <w:vAlign w:val="center"/>
                </w:tcPr>
                <w:p>
                  <w:pPr>
                    <w:pStyle w:val="53"/>
                    <w:rPr>
                      <w:rFonts w:hint="default" w:ascii="Times New Roman" w:hAnsi="Times New Roman" w:eastAsia="宋体" w:cs="Times New Roman"/>
                      <w:color w:val="auto"/>
                      <w:lang w:val="en-US" w:eastAsia="zh-CN"/>
                    </w:rPr>
                  </w:pPr>
                  <w:r>
                    <w:rPr>
                      <w:rFonts w:hint="eastAsia" w:cs="Times New Roman"/>
                      <w:color w:val="auto"/>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3" w:type="dxa"/>
                  <w:noWrap w:val="0"/>
                  <w:vAlign w:val="center"/>
                </w:tcPr>
                <w:p>
                  <w:pPr>
                    <w:pStyle w:val="53"/>
                    <w:rPr>
                      <w:rFonts w:hint="default" w:ascii="Times New Roman" w:hAnsi="Times New Roman" w:cs="Times New Roman"/>
                      <w:color w:val="auto"/>
                    </w:rPr>
                  </w:pPr>
                  <w:r>
                    <w:rPr>
                      <w:rFonts w:hint="default" w:ascii="Times New Roman" w:hAnsi="Times New Roman" w:cs="Times New Roman"/>
                      <w:color w:val="auto"/>
                    </w:rPr>
                    <w:t>污染防治措施</w:t>
                  </w:r>
                </w:p>
              </w:tc>
              <w:tc>
                <w:tcPr>
                  <w:tcW w:w="4315" w:type="dxa"/>
                  <w:noWrap w:val="0"/>
                  <w:vAlign w:val="center"/>
                </w:tcPr>
                <w:p>
                  <w:pPr>
                    <w:pStyle w:val="53"/>
                    <w:rPr>
                      <w:rFonts w:hint="default" w:ascii="Times New Roman" w:hAnsi="Times New Roman" w:cs="Times New Roman"/>
                      <w:color w:val="auto"/>
                    </w:rPr>
                  </w:pPr>
                  <w:r>
                    <w:rPr>
                      <w:rFonts w:hint="default" w:ascii="Times New Roman" w:hAnsi="Times New Roman" w:cs="Times New Roman"/>
                      <w:color w:val="auto"/>
                      <w:kern w:val="0"/>
                    </w:rPr>
                    <w:t>警示牌2块、警示灯、门机联锁等安全联锁、紧急停机开关等</w:t>
                  </w:r>
                </w:p>
              </w:tc>
              <w:tc>
                <w:tcPr>
                  <w:tcW w:w="1487" w:type="dxa"/>
                  <w:noWrap w:val="0"/>
                  <w:vAlign w:val="center"/>
                </w:tcPr>
                <w:p>
                  <w:pPr>
                    <w:pStyle w:val="53"/>
                    <w:rPr>
                      <w:rFonts w:hint="eastAsia" w:ascii="Times New Roman" w:hAnsi="Times New Roman" w:eastAsia="宋体" w:cs="Times New Roman"/>
                      <w:color w:val="auto"/>
                      <w:lang w:eastAsia="zh-CN"/>
                    </w:rPr>
                  </w:pPr>
                  <w:r>
                    <w:rPr>
                      <w:rFonts w:hint="eastAsia" w:cs="Times New Roman"/>
                      <w:color w:val="auto"/>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8" w:type="dxa"/>
                  <w:gridSpan w:val="2"/>
                  <w:noWrap w:val="0"/>
                  <w:vAlign w:val="center"/>
                </w:tcPr>
                <w:p>
                  <w:pPr>
                    <w:pStyle w:val="53"/>
                    <w:rPr>
                      <w:rFonts w:hint="default" w:ascii="Times New Roman" w:hAnsi="Times New Roman" w:cs="Times New Roman"/>
                      <w:color w:val="auto"/>
                      <w:kern w:val="0"/>
                    </w:rPr>
                  </w:pPr>
                  <w:r>
                    <w:rPr>
                      <w:rFonts w:hint="default" w:ascii="Times New Roman" w:hAnsi="Times New Roman" w:cs="Times New Roman"/>
                      <w:color w:val="auto"/>
                      <w:kern w:val="0"/>
                    </w:rPr>
                    <w:t>合计</w:t>
                  </w:r>
                </w:p>
              </w:tc>
              <w:tc>
                <w:tcPr>
                  <w:tcW w:w="1487" w:type="dxa"/>
                  <w:noWrap w:val="0"/>
                  <w:vAlign w:val="center"/>
                </w:tcPr>
                <w:p>
                  <w:pPr>
                    <w:pStyle w:val="53"/>
                    <w:rPr>
                      <w:rFonts w:hint="default" w:ascii="Times New Roman" w:hAnsi="Times New Roman" w:eastAsia="宋体" w:cs="Times New Roman"/>
                      <w:color w:val="auto"/>
                      <w:lang w:val="en-US" w:eastAsia="zh-CN"/>
                    </w:rPr>
                  </w:pPr>
                  <w:r>
                    <w:rPr>
                      <w:rFonts w:hint="eastAsia" w:cs="Times New Roman"/>
                      <w:color w:val="auto"/>
                      <w:lang w:val="en-US" w:eastAsia="zh-CN"/>
                    </w:rPr>
                    <w:t>45.2</w:t>
                  </w:r>
                </w:p>
              </w:tc>
            </w:tr>
          </w:tbl>
          <w:p>
            <w:pPr>
              <w:pStyle w:val="45"/>
              <w:spacing w:before="156" w:after="156"/>
              <w:rPr>
                <w:rFonts w:hint="default" w:ascii="Times New Roman" w:hAnsi="Times New Roman" w:cs="Times New Roman"/>
                <w:color w:val="auto"/>
              </w:rPr>
            </w:pPr>
            <w:r>
              <w:rPr>
                <w:rFonts w:hint="default" w:ascii="Times New Roman" w:hAnsi="Times New Roman" w:cs="Times New Roman"/>
                <w:color w:val="auto"/>
              </w:rPr>
              <w:t>12.6辐射活动能力评价</w:t>
            </w:r>
          </w:p>
          <w:p>
            <w:pPr>
              <w:pStyle w:val="47"/>
              <w:rPr>
                <w:rFonts w:hint="default" w:ascii="Times New Roman" w:hAnsi="Times New Roman" w:cs="Times New Roman"/>
                <w:color w:val="auto"/>
              </w:rPr>
            </w:pPr>
            <w:r>
              <w:rPr>
                <w:rFonts w:hint="eastAsia" w:cs="Times New Roman"/>
                <w:color w:val="auto"/>
                <w:lang w:eastAsia="zh-CN"/>
              </w:rPr>
              <w:t>长沙赛恩斯环保工程技术有限公司</w:t>
            </w:r>
            <w:r>
              <w:rPr>
                <w:rFonts w:hint="default" w:ascii="Times New Roman" w:hAnsi="Times New Roman" w:cs="Times New Roman"/>
                <w:color w:val="auto"/>
              </w:rPr>
              <w:t>从事辐射活动能力评价见表12-4。</w:t>
            </w:r>
          </w:p>
          <w:p>
            <w:pPr>
              <w:pStyle w:val="49"/>
              <w:rPr>
                <w:rFonts w:hint="default" w:ascii="Times New Roman" w:hAnsi="Times New Roman" w:cs="Times New Roman"/>
                <w:color w:val="auto"/>
              </w:rPr>
            </w:pPr>
            <w:r>
              <w:rPr>
                <w:rFonts w:hint="default" w:ascii="Times New Roman" w:hAnsi="Times New Roman" w:cs="Times New Roman"/>
                <w:color w:val="auto"/>
              </w:rPr>
              <w:t>12-4</w:t>
            </w:r>
            <w:r>
              <w:rPr>
                <w:rFonts w:hint="eastAsia" w:cs="Times New Roman"/>
                <w:color w:val="auto"/>
                <w:lang w:eastAsia="zh-CN"/>
              </w:rPr>
              <w:t>长沙赛恩斯环保工程技术有限公司</w:t>
            </w:r>
            <w:r>
              <w:rPr>
                <w:rFonts w:hint="default" w:ascii="Times New Roman" w:hAnsi="Times New Roman" w:cs="Times New Roman"/>
                <w:bCs/>
                <w:color w:val="auto"/>
              </w:rPr>
              <w:t>从事辐射活动能力评价</w:t>
            </w: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32"/>
              <w:gridCol w:w="40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32" w:type="dxa"/>
                  <w:noWrap w:val="0"/>
                  <w:vAlign w:val="top"/>
                </w:tcPr>
                <w:p>
                  <w:pPr>
                    <w:pStyle w:val="49"/>
                    <w:rPr>
                      <w:rFonts w:hint="default" w:ascii="Times New Roman" w:hAnsi="Times New Roman" w:cs="Times New Roman"/>
                      <w:color w:val="auto"/>
                      <w:sz w:val="21"/>
                      <w:szCs w:val="21"/>
                    </w:rPr>
                  </w:pPr>
                  <w:r>
                    <w:rPr>
                      <w:rFonts w:hint="default" w:ascii="Times New Roman" w:hAnsi="Times New Roman" w:cs="Times New Roman"/>
                      <w:b w:val="0"/>
                      <w:bCs/>
                      <w:color w:val="auto"/>
                      <w:sz w:val="21"/>
                      <w:szCs w:val="21"/>
                    </w:rPr>
                    <w:t>18号令要求应具备条件</w:t>
                  </w:r>
                </w:p>
              </w:tc>
              <w:tc>
                <w:tcPr>
                  <w:tcW w:w="4033" w:type="dxa"/>
                  <w:noWrap w:val="0"/>
                  <w:vAlign w:val="top"/>
                </w:tcPr>
                <w:p>
                  <w:pPr>
                    <w:pStyle w:val="49"/>
                    <w:rPr>
                      <w:rFonts w:hint="default" w:ascii="Times New Roman" w:hAnsi="Times New Roman" w:cs="Times New Roman"/>
                      <w:color w:val="auto"/>
                      <w:sz w:val="21"/>
                      <w:szCs w:val="21"/>
                    </w:rPr>
                  </w:pPr>
                  <w:r>
                    <w:rPr>
                      <w:rFonts w:hint="default" w:ascii="Times New Roman" w:hAnsi="Times New Roman" w:cs="Times New Roman"/>
                      <w:b w:val="0"/>
                      <w:bCs/>
                      <w:color w:val="auto"/>
                      <w:sz w:val="21"/>
                      <w:szCs w:val="21"/>
                    </w:rPr>
                    <w:t>落实情况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32" w:type="dxa"/>
                  <w:noWrap w:val="0"/>
                  <w:vAlign w:val="center"/>
                </w:tcPr>
                <w:p>
                  <w:pPr>
                    <w:widowControl/>
                    <w:jc w:val="both"/>
                    <w:rPr>
                      <w:rFonts w:hint="default" w:ascii="Times New Roman" w:hAnsi="Times New Roman" w:cs="Times New Roman"/>
                      <w:color w:val="auto"/>
                      <w:szCs w:val="21"/>
                    </w:rPr>
                  </w:pPr>
                  <w:r>
                    <w:rPr>
                      <w:rFonts w:hint="default" w:ascii="Times New Roman" w:hAnsi="Times New Roman" w:cs="Times New Roman"/>
                      <w:color w:val="auto"/>
                      <w:kern w:val="0"/>
                      <w:szCs w:val="21"/>
                    </w:rPr>
                    <w:t>设有专门的辐射安全与环境保护管理机构或至少有一名具有大专以上学历的技术人员专职负责辐射安全与环境保护管理工作。</w:t>
                  </w:r>
                </w:p>
              </w:tc>
              <w:tc>
                <w:tcPr>
                  <w:tcW w:w="4033" w:type="dxa"/>
                  <w:noWrap w:val="0"/>
                  <w:vAlign w:val="top"/>
                </w:tcPr>
                <w:p>
                  <w:pPr>
                    <w:widowControl/>
                    <w:jc w:val="left"/>
                    <w:rPr>
                      <w:rFonts w:hint="default" w:ascii="Times New Roman" w:hAnsi="Times New Roman" w:cs="Times New Roman"/>
                      <w:color w:val="auto"/>
                      <w:szCs w:val="21"/>
                    </w:rPr>
                  </w:pPr>
                  <w:r>
                    <w:rPr>
                      <w:rFonts w:hint="eastAsia" w:ascii="Times New Roman" w:hAnsi="Times New Roman" w:cs="Times New Roman"/>
                      <w:color w:val="auto"/>
                      <w:kern w:val="0"/>
                      <w:szCs w:val="21"/>
                      <w:lang w:val="en-US" w:eastAsia="zh-CN"/>
                    </w:rPr>
                    <w:t>拟设立</w:t>
                  </w:r>
                  <w:r>
                    <w:rPr>
                      <w:rFonts w:hint="default" w:ascii="Times New Roman" w:hAnsi="Times New Roman" w:cs="Times New Roman"/>
                      <w:color w:val="auto"/>
                      <w:kern w:val="0"/>
                      <w:szCs w:val="21"/>
                    </w:rPr>
                    <w:t>专门的辐射安全与环境保护管理机构，辐射安全与环境保护管理工作有1名专职人员具有大专以上学历。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32" w:type="dxa"/>
                  <w:noWrap w:val="0"/>
                  <w:vAlign w:val="center"/>
                </w:tcPr>
                <w:p>
                  <w:pPr>
                    <w:widowControl/>
                    <w:jc w:val="both"/>
                    <w:rPr>
                      <w:rFonts w:hint="default" w:ascii="Times New Roman" w:hAnsi="Times New Roman" w:cs="Times New Roman"/>
                      <w:color w:val="auto"/>
                      <w:szCs w:val="21"/>
                    </w:rPr>
                  </w:pPr>
                  <w:r>
                    <w:rPr>
                      <w:rFonts w:hint="default" w:ascii="Times New Roman" w:hAnsi="Times New Roman" w:cs="Times New Roman"/>
                      <w:color w:val="auto"/>
                      <w:kern w:val="0"/>
                      <w:szCs w:val="21"/>
                    </w:rPr>
                    <w:t>从事辐射工作的人员必须通过辐射安全和防护专业知识及相关法律法规的培训和考核。</w:t>
                  </w:r>
                </w:p>
              </w:tc>
              <w:tc>
                <w:tcPr>
                  <w:tcW w:w="4033" w:type="dxa"/>
                  <w:noWrap w:val="0"/>
                  <w:vAlign w:val="top"/>
                </w:tcPr>
                <w:p>
                  <w:pPr>
                    <w:widowControl/>
                    <w:jc w:val="left"/>
                    <w:rPr>
                      <w:rFonts w:hint="default" w:ascii="Times New Roman" w:hAnsi="Times New Roman" w:cs="Times New Roman"/>
                      <w:color w:val="auto"/>
                      <w:szCs w:val="21"/>
                    </w:rPr>
                  </w:pPr>
                  <w:r>
                    <w:rPr>
                      <w:rFonts w:hint="default" w:ascii="Times New Roman" w:hAnsi="Times New Roman" w:cs="Times New Roman"/>
                      <w:color w:val="auto"/>
                      <w:kern w:val="0"/>
                      <w:szCs w:val="21"/>
                    </w:rPr>
                    <w:t>公司承诺辐射工作人员及管理人员上岗前报名参加辐射安全培训，并取得合格证，持证上岗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32" w:type="dxa"/>
                  <w:noWrap w:val="0"/>
                  <w:vAlign w:val="center"/>
                </w:tcPr>
                <w:p>
                  <w:pPr>
                    <w:widowControl/>
                    <w:jc w:val="both"/>
                    <w:rPr>
                      <w:rFonts w:hint="default" w:ascii="Times New Roman" w:hAnsi="Times New Roman" w:cs="Times New Roman"/>
                      <w:color w:val="auto"/>
                      <w:szCs w:val="21"/>
                    </w:rPr>
                  </w:pPr>
                  <w:r>
                    <w:rPr>
                      <w:rFonts w:hint="default" w:ascii="Times New Roman" w:hAnsi="Times New Roman" w:cs="Times New Roman"/>
                      <w:color w:val="auto"/>
                      <w:kern w:val="0"/>
                      <w:szCs w:val="21"/>
                    </w:rPr>
                    <w:t>射线装置使用场所有防止误操作、防止工作人员和公众受到意外照射的安全措施</w:t>
                  </w:r>
                </w:p>
              </w:tc>
              <w:tc>
                <w:tcPr>
                  <w:tcW w:w="4033" w:type="dxa"/>
                  <w:noWrap w:val="0"/>
                  <w:vAlign w:val="top"/>
                </w:tcPr>
                <w:p>
                  <w:pPr>
                    <w:widowControl/>
                    <w:jc w:val="left"/>
                    <w:rPr>
                      <w:rFonts w:hint="default" w:ascii="Times New Roman" w:hAnsi="Times New Roman" w:cs="Times New Roman"/>
                      <w:color w:val="auto"/>
                      <w:szCs w:val="21"/>
                    </w:rPr>
                  </w:pPr>
                  <w:r>
                    <w:rPr>
                      <w:rFonts w:hint="default" w:ascii="Times New Roman" w:hAnsi="Times New Roman" w:cs="Times New Roman"/>
                      <w:color w:val="auto"/>
                      <w:kern w:val="0"/>
                      <w:szCs w:val="21"/>
                    </w:rPr>
                    <w:t>拟设置门-机联锁装置，探伤室外醒目处设置电离辐射警示标志以及工作状态指示灯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32" w:type="dxa"/>
                  <w:noWrap w:val="0"/>
                  <w:vAlign w:val="center"/>
                </w:tcPr>
                <w:p>
                  <w:pPr>
                    <w:widowControl/>
                    <w:jc w:val="both"/>
                    <w:rPr>
                      <w:rFonts w:hint="default" w:ascii="Times New Roman" w:hAnsi="Times New Roman" w:cs="Times New Roman"/>
                      <w:color w:val="auto"/>
                      <w:szCs w:val="21"/>
                    </w:rPr>
                  </w:pPr>
                  <w:r>
                    <w:rPr>
                      <w:rFonts w:hint="default" w:ascii="Times New Roman" w:hAnsi="Times New Roman" w:cs="Times New Roman"/>
                      <w:color w:val="auto"/>
                      <w:kern w:val="0"/>
                      <w:szCs w:val="21"/>
                    </w:rPr>
                    <w:t>配备与辐射类型和辐射水平相适应的防护用品和监测仪器，包括个人剂量计。</w:t>
                  </w:r>
                </w:p>
              </w:tc>
              <w:tc>
                <w:tcPr>
                  <w:tcW w:w="4033" w:type="dxa"/>
                  <w:noWrap w:val="0"/>
                  <w:vAlign w:val="top"/>
                </w:tcPr>
                <w:p>
                  <w:pPr>
                    <w:widowControl/>
                    <w:jc w:val="left"/>
                    <w:rPr>
                      <w:rFonts w:hint="default" w:ascii="Times New Roman" w:hAnsi="Times New Roman" w:cs="Times New Roman"/>
                      <w:color w:val="auto"/>
                      <w:szCs w:val="21"/>
                    </w:rPr>
                  </w:pPr>
                  <w:r>
                    <w:rPr>
                      <w:rFonts w:hint="default" w:ascii="Times New Roman" w:hAnsi="Times New Roman" w:cs="Times New Roman"/>
                      <w:color w:val="auto"/>
                      <w:kern w:val="0"/>
                      <w:szCs w:val="21"/>
                    </w:rPr>
                    <w:t>拟配备个人剂量计，便携式X－γ射线剂量率测量仪、固定式剂量监测报警仪等。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32" w:type="dxa"/>
                  <w:noWrap w:val="0"/>
                  <w:vAlign w:val="center"/>
                </w:tcPr>
                <w:p>
                  <w:pPr>
                    <w:widowControl/>
                    <w:jc w:val="both"/>
                    <w:rPr>
                      <w:rFonts w:hint="default" w:ascii="Times New Roman" w:hAnsi="Times New Roman" w:cs="Times New Roman"/>
                      <w:color w:val="auto"/>
                      <w:szCs w:val="21"/>
                    </w:rPr>
                  </w:pPr>
                  <w:r>
                    <w:rPr>
                      <w:rFonts w:hint="default" w:ascii="Times New Roman" w:hAnsi="Times New Roman" w:cs="Times New Roman"/>
                      <w:color w:val="auto"/>
                      <w:kern w:val="0"/>
                      <w:szCs w:val="21"/>
                    </w:rPr>
                    <w:t>有健全的操作规程、岗位职责、辐射防护和安全保卫制度、设备检修维护制度等</w:t>
                  </w:r>
                </w:p>
              </w:tc>
              <w:tc>
                <w:tcPr>
                  <w:tcW w:w="4033" w:type="dxa"/>
                  <w:noWrap w:val="0"/>
                  <w:vAlign w:val="top"/>
                </w:tcPr>
                <w:p>
                  <w:pPr>
                    <w:widowControl/>
                    <w:jc w:val="left"/>
                    <w:rPr>
                      <w:rFonts w:hint="default" w:ascii="Times New Roman" w:hAnsi="Times New Roman" w:cs="Times New Roman"/>
                      <w:color w:val="auto"/>
                      <w:szCs w:val="21"/>
                    </w:rPr>
                  </w:pPr>
                  <w:r>
                    <w:rPr>
                      <w:rFonts w:hint="default" w:ascii="Times New Roman" w:hAnsi="Times New Roman" w:cs="Times New Roman"/>
                      <w:color w:val="auto"/>
                      <w:szCs w:val="21"/>
                    </w:rPr>
                    <w:t>建设单位正在逐步完善相关制度。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32" w:type="dxa"/>
                  <w:noWrap w:val="0"/>
                  <w:vAlign w:val="center"/>
                </w:tcPr>
                <w:p>
                  <w:pPr>
                    <w:pStyle w:val="49"/>
                    <w:jc w:val="both"/>
                    <w:rPr>
                      <w:rFonts w:hint="default" w:ascii="Times New Roman" w:hAnsi="Times New Roman" w:cs="Times New Roman"/>
                      <w:color w:val="auto"/>
                      <w:sz w:val="21"/>
                      <w:szCs w:val="21"/>
                    </w:rPr>
                  </w:pPr>
                  <w:r>
                    <w:rPr>
                      <w:rFonts w:hint="default" w:ascii="Times New Roman" w:hAnsi="Times New Roman" w:cs="Times New Roman"/>
                      <w:b w:val="0"/>
                      <w:bCs/>
                      <w:color w:val="auto"/>
                      <w:sz w:val="21"/>
                      <w:szCs w:val="21"/>
                    </w:rPr>
                    <w:t>有完善的辐射事故应急措施。</w:t>
                  </w:r>
                </w:p>
              </w:tc>
              <w:tc>
                <w:tcPr>
                  <w:tcW w:w="4033" w:type="dxa"/>
                  <w:noWrap w:val="0"/>
                  <w:vAlign w:val="top"/>
                </w:tcPr>
                <w:p>
                  <w:pPr>
                    <w:widowControl/>
                    <w:jc w:val="left"/>
                    <w:rPr>
                      <w:rFonts w:hint="default" w:ascii="Times New Roman" w:hAnsi="Times New Roman" w:cs="Times New Roman"/>
                      <w:color w:val="auto"/>
                      <w:szCs w:val="21"/>
                    </w:rPr>
                  </w:pPr>
                  <w:r>
                    <w:rPr>
                      <w:rFonts w:hint="default" w:ascii="Times New Roman" w:hAnsi="Times New Roman" w:cs="Times New Roman"/>
                      <w:color w:val="auto"/>
                      <w:kern w:val="0"/>
                      <w:szCs w:val="21"/>
                    </w:rPr>
                    <w:t>制定中，需根据项目运行情况完善。</w:t>
                  </w:r>
                </w:p>
              </w:tc>
            </w:tr>
          </w:tbl>
          <w:p>
            <w:pPr>
              <w:pStyle w:val="47"/>
              <w:rPr>
                <w:rFonts w:hint="default" w:ascii="Times New Roman" w:hAnsi="Times New Roman" w:cs="Times New Roman"/>
                <w:color w:val="auto"/>
                <w:kern w:val="0"/>
              </w:rPr>
            </w:pPr>
            <w:r>
              <w:rPr>
                <w:rFonts w:hint="default" w:ascii="Times New Roman" w:hAnsi="Times New Roman" w:cs="Times New Roman"/>
                <w:color w:val="auto"/>
                <w:kern w:val="0"/>
              </w:rPr>
              <w:t>从表12-4可知，</w:t>
            </w:r>
            <w:r>
              <w:rPr>
                <w:rFonts w:hint="eastAsia" w:cs="Times New Roman"/>
                <w:color w:val="auto"/>
                <w:kern w:val="0"/>
                <w:lang w:val="en-US" w:eastAsia="zh-CN"/>
              </w:rPr>
              <w:t>评价认为</w:t>
            </w:r>
            <w:r>
              <w:rPr>
                <w:rFonts w:hint="eastAsia" w:cs="Times New Roman"/>
                <w:color w:val="auto"/>
                <w:lang w:eastAsia="zh-CN"/>
              </w:rPr>
              <w:t>长沙赛恩斯环保工程技术有限公司</w:t>
            </w:r>
            <w:r>
              <w:rPr>
                <w:rFonts w:hint="default" w:ascii="Times New Roman" w:hAnsi="Times New Roman" w:cs="Times New Roman"/>
                <w:color w:val="auto"/>
                <w:kern w:val="0"/>
              </w:rPr>
              <w:t>，具有从事辐射活动的能力，但在运行期要加强落实，同时还应做好以下管理工作：</w:t>
            </w:r>
          </w:p>
          <w:p>
            <w:pPr>
              <w:pStyle w:val="47"/>
              <w:rPr>
                <w:rFonts w:hint="default" w:ascii="Times New Roman" w:hAnsi="Times New Roman" w:cs="Times New Roman"/>
                <w:color w:val="auto"/>
                <w:kern w:val="0"/>
              </w:rPr>
            </w:pPr>
            <w:r>
              <w:rPr>
                <w:rFonts w:hint="default" w:ascii="Times New Roman" w:hAnsi="Times New Roman" w:cs="Times New Roman"/>
                <w:color w:val="auto"/>
                <w:kern w:val="0"/>
              </w:rPr>
              <w:t>1）加强对X射线装置安全和防护状况的日常检查，发现安全隐患的，应当立即整改；安全隐患有可能威胁到人员安全或者有可能造成环境污染的，应当立即停止辐射作业并报告发放辐射安全许可证的环境保护主管部门（简称：发证机关），经</w:t>
            </w:r>
            <w:r>
              <w:rPr>
                <w:rFonts w:hint="eastAsia" w:cs="Times New Roman"/>
                <w:color w:val="auto"/>
                <w:kern w:val="0"/>
                <w:lang w:val="en-US" w:eastAsia="zh-CN"/>
              </w:rPr>
              <w:t>长沙市</w:t>
            </w:r>
            <w:r>
              <w:rPr>
                <w:rFonts w:hint="default" w:ascii="Times New Roman" w:hAnsi="Times New Roman" w:cs="Times New Roman"/>
                <w:color w:val="auto"/>
                <w:kern w:val="0"/>
              </w:rPr>
              <w:t>生态环境局检查核实安全隐患消除后，方可恢复正常作业。公司应对本项目的X射线装置的安全和防护状况进行年度评估，并于每年1月31日前向发证机关提交上一年度的评估报告。</w:t>
            </w:r>
          </w:p>
          <w:p>
            <w:pPr>
              <w:pStyle w:val="47"/>
              <w:rPr>
                <w:rFonts w:hint="default" w:ascii="Times New Roman" w:hAnsi="Times New Roman" w:cs="Times New Roman"/>
                <w:color w:val="auto"/>
                <w:kern w:val="0"/>
              </w:rPr>
            </w:pPr>
            <w:r>
              <w:rPr>
                <w:rFonts w:hint="default" w:ascii="Times New Roman" w:hAnsi="Times New Roman" w:cs="Times New Roman"/>
                <w:color w:val="auto"/>
                <w:kern w:val="0"/>
              </w:rPr>
              <w:t>2）完善设备管理保养制度。定期对无损检测装置的性能进行全面检查、维护，发现问题应及时维修，并做好记录。机器发生故障时，应将写有“有故障”字样的纸条等有明显标记的标牌贴在仪器上，禁止随意拆动，并与制造厂家或厂家指定或授权的维修部门联系，维修后经验收合格方可使用。使用机器前确认机器的连接状况，检查机器是否处于良好工作状态，如有问题立即停止运作，严禁设备</w:t>
            </w:r>
            <w:r>
              <w:rPr>
                <w:rFonts w:hint="eastAsia" w:cs="Times New Roman"/>
                <w:color w:val="auto"/>
                <w:kern w:val="0"/>
                <w:lang w:eastAsia="zh-CN"/>
              </w:rPr>
              <w:t>“</w:t>
            </w:r>
            <w:r>
              <w:rPr>
                <w:rFonts w:hint="default" w:ascii="Times New Roman" w:hAnsi="Times New Roman" w:cs="Times New Roman"/>
                <w:color w:val="auto"/>
                <w:kern w:val="0"/>
              </w:rPr>
              <w:t>带病</w:t>
            </w:r>
            <w:r>
              <w:rPr>
                <w:rFonts w:hint="eastAsia" w:cs="Times New Roman"/>
                <w:color w:val="auto"/>
                <w:kern w:val="0"/>
                <w:lang w:eastAsia="zh-CN"/>
              </w:rPr>
              <w:t>”</w:t>
            </w:r>
            <w:r>
              <w:rPr>
                <w:rFonts w:hint="default" w:ascii="Times New Roman" w:hAnsi="Times New Roman" w:cs="Times New Roman"/>
                <w:color w:val="auto"/>
                <w:kern w:val="0"/>
              </w:rPr>
              <w:t>运行。</w:t>
            </w:r>
          </w:p>
          <w:p>
            <w:pPr>
              <w:pStyle w:val="47"/>
              <w:rPr>
                <w:rFonts w:hint="default" w:ascii="Times New Roman" w:hAnsi="Times New Roman" w:cs="Times New Roman"/>
                <w:color w:val="auto"/>
                <w:kern w:val="0"/>
              </w:rPr>
            </w:pPr>
            <w:r>
              <w:rPr>
                <w:rFonts w:hint="default" w:ascii="Times New Roman" w:hAnsi="Times New Roman" w:cs="Times New Roman"/>
                <w:color w:val="auto"/>
                <w:kern w:val="0"/>
              </w:rPr>
              <w:t>3）公司配备1名专职人员负责辐射安全管理工作，在进行无损检测时，至少2名辐射工作人员同时在场，确定专人负责现场的辐射安全工作；</w:t>
            </w:r>
            <w:r>
              <w:rPr>
                <w:rFonts w:hint="default" w:ascii="Times New Roman" w:hAnsi="Times New Roman" w:cs="Times New Roman"/>
                <w:color w:val="auto"/>
              </w:rPr>
              <w:t>新从事辐射活动的人员，以及原持有的辐射安全培训合格证书到期的人员，上岗前必须通过国家核技术利用辐射安全与防护培训平台（网址：http：//fushe.mee.gov.cn）核技术利用辐射安全与防护考核，做到所有从事辐射工作的人员均持证上岗。</w:t>
            </w:r>
            <w:r>
              <w:rPr>
                <w:rFonts w:hint="default" w:ascii="Times New Roman" w:hAnsi="Times New Roman" w:cs="Times New Roman"/>
                <w:color w:val="auto"/>
                <w:kern w:val="0"/>
              </w:rPr>
              <w:t>以上制度不仅考虑到探伤机的使用和安全防护，也考虑到了辐射安全防护事故应急处理方案。所有制度内容详实，可操作性较强。为确保放射防护可靠性，维护放射工作人员和周围公众的权益，履行放射防护职责，避免事故的发生，该公司应培植和保持良好的安全文化素养，减少人为因素导致人员意外照射事故的发生，每年对无损检测工作进行年度评估，进一步建立健全相关制度。</w:t>
            </w:r>
          </w:p>
          <w:p>
            <w:pPr>
              <w:pStyle w:val="47"/>
              <w:ind w:firstLine="482"/>
              <w:rPr>
                <w:rFonts w:hint="default" w:ascii="Times New Roman" w:hAnsi="Times New Roman" w:cs="Times New Roman"/>
                <w:b w:val="0"/>
                <w:bCs w:val="0"/>
                <w:color w:val="auto"/>
              </w:rPr>
            </w:pPr>
            <w:r>
              <w:rPr>
                <w:rFonts w:hint="default" w:ascii="Times New Roman" w:hAnsi="Times New Roman" w:cs="Times New Roman"/>
                <w:b w:val="0"/>
                <w:bCs w:val="0"/>
                <w:color w:val="auto"/>
              </w:rPr>
              <w:t>综上所述，评价认为，</w:t>
            </w:r>
            <w:r>
              <w:rPr>
                <w:rFonts w:hint="eastAsia" w:cs="Times New Roman"/>
                <w:b w:val="0"/>
                <w:bCs w:val="0"/>
                <w:color w:val="auto"/>
                <w:lang w:eastAsia="zh-CN"/>
              </w:rPr>
              <w:t>长沙赛恩斯环保工程技术有限公司</w:t>
            </w:r>
            <w:r>
              <w:rPr>
                <w:rFonts w:hint="default" w:ascii="Times New Roman" w:hAnsi="Times New Roman" w:cs="Times New Roman"/>
                <w:b w:val="0"/>
                <w:bCs w:val="0"/>
                <w:color w:val="auto"/>
              </w:rPr>
              <w:t>辐射环境管理满足《电离辐射防护与辐射安全基本标准》、《放射性同位素与射线装置安全许可管理办法》等相关标准的要求。</w:t>
            </w:r>
          </w:p>
          <w:p>
            <w:pPr>
              <w:pStyle w:val="45"/>
              <w:spacing w:before="156" w:after="156"/>
              <w:rPr>
                <w:rFonts w:hint="default" w:ascii="Times New Roman" w:hAnsi="Times New Roman" w:cs="Times New Roman"/>
                <w:color w:val="auto"/>
              </w:rPr>
            </w:pPr>
            <w:r>
              <w:rPr>
                <w:rFonts w:hint="default" w:ascii="Times New Roman" w:hAnsi="Times New Roman" w:cs="Times New Roman"/>
                <w:color w:val="auto"/>
              </w:rPr>
              <w:t>12.7环保竣工验收</w:t>
            </w:r>
          </w:p>
          <w:p>
            <w:pPr>
              <w:pStyle w:val="47"/>
              <w:rPr>
                <w:rFonts w:hint="default" w:ascii="Times New Roman" w:hAnsi="Times New Roman" w:cs="Times New Roman"/>
                <w:color w:val="auto"/>
                <w:kern w:val="0"/>
              </w:rPr>
            </w:pPr>
            <w:r>
              <w:rPr>
                <w:rFonts w:hint="default" w:ascii="Times New Roman" w:hAnsi="Times New Roman" w:cs="Times New Roman"/>
                <w:color w:val="auto"/>
                <w:kern w:val="0"/>
              </w:rPr>
              <w:t>本项目建成后，应严格按照环境保护部</w:t>
            </w:r>
            <w:r>
              <w:rPr>
                <w:rFonts w:hint="eastAsia" w:cs="Times New Roman"/>
                <w:color w:val="auto"/>
                <w:kern w:val="0"/>
                <w:lang w:eastAsia="zh-CN"/>
              </w:rPr>
              <w:t>“</w:t>
            </w:r>
            <w:r>
              <w:rPr>
                <w:rFonts w:hint="default" w:ascii="Times New Roman" w:hAnsi="Times New Roman" w:cs="Times New Roman"/>
                <w:color w:val="auto"/>
                <w:kern w:val="0"/>
              </w:rPr>
              <w:t>关于发布《建设项目竣工环境保护验收暂行办法》的公告</w:t>
            </w:r>
            <w:r>
              <w:rPr>
                <w:rFonts w:hint="eastAsia" w:cs="Times New Roman"/>
                <w:color w:val="auto"/>
                <w:kern w:val="0"/>
                <w:lang w:eastAsia="zh-CN"/>
              </w:rPr>
              <w:t>”</w:t>
            </w:r>
            <w:r>
              <w:rPr>
                <w:rFonts w:hint="default" w:ascii="Times New Roman" w:hAnsi="Times New Roman" w:cs="Times New Roman"/>
                <w:color w:val="auto"/>
                <w:kern w:val="0"/>
              </w:rPr>
              <w:t>（国环规环评（2017）4号）文件要求，开展竣工环境保护验收工作。</w:t>
            </w:r>
          </w:p>
          <w:p>
            <w:pPr>
              <w:pStyle w:val="47"/>
              <w:rPr>
                <w:rFonts w:hint="default" w:ascii="Times New Roman" w:hAnsi="Times New Roman" w:cs="Times New Roman"/>
                <w:color w:val="auto"/>
                <w:kern w:val="0"/>
              </w:rPr>
            </w:pPr>
            <w:r>
              <w:rPr>
                <w:rFonts w:hint="default" w:ascii="Times New Roman" w:hAnsi="Times New Roman" w:cs="Times New Roman"/>
                <w:color w:val="auto"/>
                <w:kern w:val="0"/>
              </w:rPr>
              <w:t>建设单位</w:t>
            </w:r>
            <w:r>
              <w:rPr>
                <w:rFonts w:hint="eastAsia" w:cs="Times New Roman"/>
                <w:color w:val="auto"/>
                <w:lang w:eastAsia="zh-CN"/>
              </w:rPr>
              <w:t>长沙赛恩斯环保工程技术有限公司</w:t>
            </w:r>
            <w:r>
              <w:rPr>
                <w:rFonts w:hint="default" w:ascii="Times New Roman" w:hAnsi="Times New Roman" w:cs="Times New Roman"/>
                <w:color w:val="auto"/>
                <w:kern w:val="0"/>
              </w:rPr>
              <w:t>是本项目竣工环境保护验收的责任主体，应当按照相关文件规定的程序和标准，组织对配套建设的环境保护设施进行验收，编制验收报告，公开相关信息，接受社会监督，确保建设项日需要配套建设的环境保护设施与主体工程同时投产或者使用，并对验收内容、结论和所公开信息的真实性、准确性和完整性负责，不得在验收过程中弄虛作假。</w:t>
            </w:r>
          </w:p>
          <w:p>
            <w:pPr>
              <w:pStyle w:val="49"/>
              <w:rPr>
                <w:rFonts w:hint="default" w:ascii="Times New Roman" w:hAnsi="Times New Roman" w:cs="Times New Roman"/>
                <w:color w:val="auto"/>
              </w:rPr>
            </w:pPr>
            <w:r>
              <w:rPr>
                <w:rFonts w:hint="default" w:ascii="Times New Roman" w:hAnsi="Times New Roman" w:cs="Times New Roman"/>
                <w:color w:val="auto"/>
                <w:kern w:val="0"/>
              </w:rPr>
              <w:t>表12-5</w:t>
            </w:r>
            <w:r>
              <w:rPr>
                <w:rFonts w:hint="default" w:ascii="Times New Roman" w:hAnsi="Times New Roman" w:cs="Times New Roman"/>
                <w:color w:val="auto"/>
              </w:rPr>
              <w:t>环保设施竣工验收内容和要求一览表</w:t>
            </w: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2"/>
              <w:gridCol w:w="1560"/>
              <w:gridCol w:w="3926"/>
              <w:gridCol w:w="20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noWrap w:val="0"/>
                  <w:vAlign w:val="center"/>
                </w:tcPr>
                <w:p>
                  <w:pPr>
                    <w:pStyle w:val="53"/>
                    <w:rPr>
                      <w:rFonts w:hint="default" w:ascii="Times New Roman" w:hAnsi="Times New Roman" w:cs="Times New Roman"/>
                      <w:color w:val="auto"/>
                      <w:u w:val="none"/>
                    </w:rPr>
                  </w:pPr>
                  <w:r>
                    <w:rPr>
                      <w:rFonts w:hint="default" w:ascii="Times New Roman" w:hAnsi="Times New Roman" w:cs="Times New Roman"/>
                      <w:color w:val="auto"/>
                      <w:u w:val="none"/>
                    </w:rPr>
                    <w:t>序号</w:t>
                  </w:r>
                </w:p>
              </w:tc>
              <w:tc>
                <w:tcPr>
                  <w:tcW w:w="1560" w:type="dxa"/>
                  <w:noWrap w:val="0"/>
                  <w:vAlign w:val="center"/>
                </w:tcPr>
                <w:p>
                  <w:pPr>
                    <w:pStyle w:val="53"/>
                    <w:rPr>
                      <w:rFonts w:hint="default" w:ascii="Times New Roman" w:hAnsi="Times New Roman" w:cs="Times New Roman"/>
                      <w:color w:val="auto"/>
                      <w:u w:val="none"/>
                    </w:rPr>
                  </w:pPr>
                  <w:r>
                    <w:rPr>
                      <w:rFonts w:hint="default" w:ascii="Times New Roman" w:hAnsi="Times New Roman" w:cs="Times New Roman"/>
                      <w:color w:val="auto"/>
                      <w:u w:val="none"/>
                    </w:rPr>
                    <w:t>验收内容</w:t>
                  </w:r>
                </w:p>
              </w:tc>
              <w:tc>
                <w:tcPr>
                  <w:tcW w:w="3926" w:type="dxa"/>
                  <w:noWrap w:val="0"/>
                  <w:vAlign w:val="center"/>
                </w:tcPr>
                <w:p>
                  <w:pPr>
                    <w:pStyle w:val="53"/>
                    <w:rPr>
                      <w:rFonts w:hint="default" w:ascii="Times New Roman" w:hAnsi="Times New Roman" w:cs="Times New Roman"/>
                      <w:color w:val="auto"/>
                      <w:u w:val="none"/>
                    </w:rPr>
                  </w:pPr>
                  <w:r>
                    <w:rPr>
                      <w:rFonts w:hint="default" w:ascii="Times New Roman" w:hAnsi="Times New Roman" w:cs="Times New Roman"/>
                      <w:color w:val="auto"/>
                      <w:u w:val="none"/>
                    </w:rPr>
                    <w:t>验收要求</w:t>
                  </w:r>
                </w:p>
              </w:tc>
              <w:tc>
                <w:tcPr>
                  <w:tcW w:w="2017" w:type="dxa"/>
                  <w:noWrap w:val="0"/>
                  <w:vAlign w:val="center"/>
                </w:tcPr>
                <w:p>
                  <w:pPr>
                    <w:pStyle w:val="53"/>
                    <w:rPr>
                      <w:rFonts w:hint="default" w:ascii="Times New Roman" w:hAnsi="Times New Roman" w:cs="Times New Roman"/>
                      <w:color w:val="auto"/>
                      <w:u w:val="none"/>
                    </w:rPr>
                  </w:pPr>
                  <w:r>
                    <w:rPr>
                      <w:rFonts w:hint="default" w:ascii="Times New Roman" w:hAnsi="Times New Roman" w:cs="Times New Roman"/>
                      <w:color w:val="auto"/>
                      <w:u w:val="none"/>
                    </w:rPr>
                    <w:t>验收标准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noWrap w:val="0"/>
                  <w:vAlign w:val="center"/>
                </w:tcPr>
                <w:p>
                  <w:pPr>
                    <w:pStyle w:val="53"/>
                    <w:rPr>
                      <w:rFonts w:hint="default" w:ascii="Times New Roman" w:hAnsi="Times New Roman" w:cs="Times New Roman"/>
                      <w:color w:val="auto"/>
                      <w:u w:val="none"/>
                    </w:rPr>
                  </w:pPr>
                  <w:r>
                    <w:rPr>
                      <w:rFonts w:hint="default" w:ascii="Times New Roman" w:hAnsi="Times New Roman" w:cs="Times New Roman"/>
                      <w:color w:val="auto"/>
                      <w:u w:val="none"/>
                    </w:rPr>
                    <w:t>1</w:t>
                  </w:r>
                </w:p>
              </w:tc>
              <w:tc>
                <w:tcPr>
                  <w:tcW w:w="1560" w:type="dxa"/>
                  <w:noWrap w:val="0"/>
                  <w:vAlign w:val="center"/>
                </w:tcPr>
                <w:p>
                  <w:pPr>
                    <w:pStyle w:val="53"/>
                    <w:rPr>
                      <w:rFonts w:hint="default" w:ascii="Times New Roman" w:hAnsi="Times New Roman" w:cs="Times New Roman"/>
                      <w:color w:val="auto"/>
                      <w:u w:val="none"/>
                    </w:rPr>
                  </w:pPr>
                  <w:r>
                    <w:rPr>
                      <w:rFonts w:hint="default" w:ascii="Times New Roman" w:hAnsi="Times New Roman" w:cs="Times New Roman"/>
                      <w:color w:val="auto"/>
                      <w:u w:val="none"/>
                    </w:rPr>
                    <w:t>环保资料和档案</w:t>
                  </w:r>
                </w:p>
              </w:tc>
              <w:tc>
                <w:tcPr>
                  <w:tcW w:w="3926" w:type="dxa"/>
                  <w:noWrap w:val="0"/>
                  <w:vAlign w:val="center"/>
                </w:tcPr>
                <w:p>
                  <w:pPr>
                    <w:pStyle w:val="53"/>
                    <w:rPr>
                      <w:rFonts w:hint="default" w:ascii="Times New Roman" w:hAnsi="Times New Roman" w:cs="Times New Roman"/>
                      <w:color w:val="auto"/>
                      <w:u w:val="none"/>
                    </w:rPr>
                  </w:pPr>
                  <w:r>
                    <w:rPr>
                      <w:rFonts w:hint="default" w:ascii="Times New Roman" w:hAnsi="Times New Roman" w:cs="Times New Roman"/>
                      <w:color w:val="auto"/>
                      <w:kern w:val="0"/>
                      <w:u w:val="none"/>
                    </w:rPr>
                    <w:t>环评批复、全环评报告文件，个人剂量监测、健康档案等</w:t>
                  </w:r>
                </w:p>
              </w:tc>
              <w:tc>
                <w:tcPr>
                  <w:tcW w:w="2017" w:type="dxa"/>
                  <w:noWrap w:val="0"/>
                  <w:vAlign w:val="center"/>
                </w:tcPr>
                <w:p>
                  <w:pPr>
                    <w:pStyle w:val="53"/>
                    <w:rPr>
                      <w:rFonts w:hint="default" w:ascii="Times New Roman" w:hAnsi="Times New Roman" w:cs="Times New Roman"/>
                      <w:color w:val="auto"/>
                      <w:u w:val="none"/>
                    </w:rPr>
                  </w:pPr>
                  <w:r>
                    <w:rPr>
                      <w:rFonts w:hint="default" w:ascii="Times New Roman" w:hAnsi="Times New Roman" w:cs="Times New Roman"/>
                      <w:color w:val="auto"/>
                      <w:u w:val="none"/>
                    </w:rPr>
                    <w:t>GBZ98-2017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noWrap w:val="0"/>
                  <w:vAlign w:val="center"/>
                </w:tcPr>
                <w:p>
                  <w:pPr>
                    <w:pStyle w:val="53"/>
                    <w:rPr>
                      <w:rFonts w:hint="default" w:ascii="Times New Roman" w:hAnsi="Times New Roman" w:cs="Times New Roman"/>
                      <w:color w:val="auto"/>
                      <w:u w:val="none"/>
                    </w:rPr>
                  </w:pPr>
                  <w:r>
                    <w:rPr>
                      <w:rFonts w:hint="default" w:ascii="Times New Roman" w:hAnsi="Times New Roman" w:cs="Times New Roman"/>
                      <w:color w:val="auto"/>
                      <w:u w:val="none"/>
                    </w:rPr>
                    <w:t>2</w:t>
                  </w:r>
                </w:p>
              </w:tc>
              <w:tc>
                <w:tcPr>
                  <w:tcW w:w="1560" w:type="dxa"/>
                  <w:noWrap w:val="0"/>
                  <w:vAlign w:val="center"/>
                </w:tcPr>
                <w:p>
                  <w:pPr>
                    <w:pStyle w:val="53"/>
                    <w:rPr>
                      <w:rFonts w:hint="default" w:ascii="Times New Roman" w:hAnsi="Times New Roman" w:cs="Times New Roman"/>
                      <w:color w:val="auto"/>
                      <w:u w:val="none"/>
                    </w:rPr>
                  </w:pPr>
                  <w:r>
                    <w:rPr>
                      <w:rFonts w:hint="default" w:ascii="Times New Roman" w:hAnsi="Times New Roman" w:cs="Times New Roman"/>
                      <w:color w:val="auto"/>
                      <w:u w:val="none"/>
                    </w:rPr>
                    <w:t>管理制度</w:t>
                  </w:r>
                </w:p>
              </w:tc>
              <w:tc>
                <w:tcPr>
                  <w:tcW w:w="3926" w:type="dxa"/>
                  <w:noWrap w:val="0"/>
                  <w:vAlign w:val="center"/>
                </w:tcPr>
                <w:p>
                  <w:pPr>
                    <w:pStyle w:val="53"/>
                    <w:rPr>
                      <w:rFonts w:hint="default" w:ascii="Times New Roman" w:hAnsi="Times New Roman" w:cs="Times New Roman"/>
                      <w:color w:val="auto"/>
                      <w:u w:val="none"/>
                    </w:rPr>
                  </w:pPr>
                  <w:r>
                    <w:rPr>
                      <w:rFonts w:hint="default" w:ascii="Times New Roman" w:hAnsi="Times New Roman" w:cs="Times New Roman"/>
                      <w:color w:val="auto"/>
                      <w:u w:val="none"/>
                    </w:rPr>
                    <w:t>有专人负责，制度上墙等</w:t>
                  </w:r>
                </w:p>
              </w:tc>
              <w:tc>
                <w:tcPr>
                  <w:tcW w:w="2017" w:type="dxa"/>
                  <w:noWrap w:val="0"/>
                  <w:vAlign w:val="center"/>
                </w:tcPr>
                <w:p>
                  <w:pPr>
                    <w:pStyle w:val="53"/>
                    <w:rPr>
                      <w:rFonts w:hint="default" w:ascii="Times New Roman" w:hAnsi="Times New Roman" w:cs="Times New Roman"/>
                      <w:color w:val="auto"/>
                      <w:u w:val="none"/>
                    </w:rPr>
                  </w:pPr>
                  <w:r>
                    <w:rPr>
                      <w:rFonts w:hint="default" w:ascii="Times New Roman" w:hAnsi="Times New Roman" w:cs="Times New Roman"/>
                      <w:color w:val="auto"/>
                      <w:u w:val="none"/>
                    </w:rPr>
                    <w:t>环境保护部令第47号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62" w:type="dxa"/>
                  <w:vMerge w:val="restart"/>
                  <w:noWrap w:val="0"/>
                  <w:vAlign w:val="center"/>
                </w:tcPr>
                <w:p>
                  <w:pPr>
                    <w:pStyle w:val="53"/>
                    <w:rPr>
                      <w:rFonts w:hint="default" w:ascii="Times New Roman" w:hAnsi="Times New Roman" w:cs="Times New Roman"/>
                      <w:color w:val="auto"/>
                      <w:u w:val="none"/>
                    </w:rPr>
                  </w:pPr>
                  <w:r>
                    <w:rPr>
                      <w:rFonts w:hint="default" w:ascii="Times New Roman" w:hAnsi="Times New Roman" w:cs="Times New Roman"/>
                      <w:color w:val="auto"/>
                      <w:u w:val="none"/>
                    </w:rPr>
                    <w:t>3</w:t>
                  </w:r>
                </w:p>
              </w:tc>
              <w:tc>
                <w:tcPr>
                  <w:tcW w:w="1560" w:type="dxa"/>
                  <w:noWrap w:val="0"/>
                  <w:vAlign w:val="center"/>
                </w:tcPr>
                <w:p>
                  <w:pPr>
                    <w:widowControl/>
                    <w:jc w:val="center"/>
                    <w:rPr>
                      <w:rFonts w:hint="default" w:ascii="Times New Roman" w:hAnsi="Times New Roman" w:cs="Times New Roman"/>
                      <w:color w:val="auto"/>
                      <w:szCs w:val="21"/>
                      <w:u w:val="none"/>
                    </w:rPr>
                  </w:pPr>
                  <w:r>
                    <w:rPr>
                      <w:rFonts w:hint="default" w:ascii="Times New Roman" w:hAnsi="Times New Roman" w:cs="Times New Roman"/>
                      <w:color w:val="auto"/>
                      <w:kern w:val="0"/>
                      <w:szCs w:val="21"/>
                      <w:u w:val="none"/>
                    </w:rPr>
                    <w:t>剂量管理目标值</w:t>
                  </w:r>
                </w:p>
              </w:tc>
              <w:tc>
                <w:tcPr>
                  <w:tcW w:w="3926" w:type="dxa"/>
                  <w:noWrap w:val="0"/>
                  <w:vAlign w:val="center"/>
                </w:tcPr>
                <w:p>
                  <w:pPr>
                    <w:widowControl/>
                    <w:jc w:val="center"/>
                    <w:rPr>
                      <w:rFonts w:hint="default" w:ascii="Times New Roman" w:hAnsi="Times New Roman" w:cs="Times New Roman"/>
                      <w:color w:val="auto"/>
                      <w:kern w:val="0"/>
                      <w:szCs w:val="21"/>
                      <w:u w:val="none"/>
                    </w:rPr>
                  </w:pPr>
                  <w:r>
                    <w:rPr>
                      <w:rFonts w:hint="default" w:ascii="Times New Roman" w:hAnsi="Times New Roman" w:cs="Times New Roman"/>
                      <w:color w:val="auto"/>
                      <w:kern w:val="0"/>
                      <w:szCs w:val="21"/>
                      <w:u w:val="none"/>
                    </w:rPr>
                    <w:t>辐射工作人员：有效剂量2mSv/a</w:t>
                  </w:r>
                </w:p>
                <w:p>
                  <w:pPr>
                    <w:pStyle w:val="53"/>
                    <w:rPr>
                      <w:rFonts w:hint="default" w:ascii="Times New Roman" w:hAnsi="Times New Roman" w:cs="Times New Roman"/>
                      <w:color w:val="auto"/>
                      <w:u w:val="none"/>
                    </w:rPr>
                  </w:pPr>
                  <w:r>
                    <w:rPr>
                      <w:rFonts w:hint="default" w:ascii="Times New Roman" w:hAnsi="Times New Roman" w:cs="Times New Roman"/>
                      <w:color w:val="auto"/>
                      <w:kern w:val="0"/>
                      <w:u w:val="none"/>
                    </w:rPr>
                    <w:t>公众成员：有效剂量0.1mSv/a</w:t>
                  </w:r>
                </w:p>
              </w:tc>
              <w:tc>
                <w:tcPr>
                  <w:tcW w:w="2017" w:type="dxa"/>
                  <w:noWrap w:val="0"/>
                  <w:vAlign w:val="center"/>
                </w:tcPr>
                <w:p>
                  <w:pPr>
                    <w:widowControl/>
                    <w:jc w:val="center"/>
                    <w:rPr>
                      <w:rFonts w:hint="default" w:ascii="Times New Roman" w:hAnsi="Times New Roman" w:cs="Times New Roman"/>
                      <w:color w:val="auto"/>
                      <w:kern w:val="0"/>
                      <w:szCs w:val="21"/>
                      <w:u w:val="none"/>
                    </w:rPr>
                  </w:pPr>
                  <w:r>
                    <w:rPr>
                      <w:rFonts w:hint="default" w:ascii="Times New Roman" w:hAnsi="Times New Roman" w:cs="Times New Roman"/>
                      <w:color w:val="auto"/>
                      <w:kern w:val="0"/>
                      <w:szCs w:val="21"/>
                      <w:u w:val="none"/>
                    </w:rPr>
                    <w:t>GB18871-2002</w:t>
                  </w:r>
                </w:p>
                <w:p>
                  <w:pPr>
                    <w:widowControl/>
                    <w:jc w:val="center"/>
                    <w:rPr>
                      <w:rFonts w:hint="default" w:ascii="Times New Roman" w:hAnsi="Times New Roman" w:cs="Times New Roman"/>
                      <w:color w:val="auto"/>
                      <w:szCs w:val="21"/>
                      <w:u w:val="none"/>
                    </w:rPr>
                  </w:pPr>
                  <w:r>
                    <w:rPr>
                      <w:rFonts w:hint="default" w:ascii="Times New Roman" w:hAnsi="Times New Roman" w:cs="Times New Roman"/>
                      <w:color w:val="auto"/>
                      <w:kern w:val="0"/>
                      <w:szCs w:val="21"/>
                      <w:u w:val="none"/>
                    </w:rPr>
                    <w:t>GBZ117-2015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vMerge w:val="continue"/>
                  <w:noWrap w:val="0"/>
                  <w:vAlign w:val="center"/>
                </w:tcPr>
                <w:p>
                  <w:pPr>
                    <w:pStyle w:val="53"/>
                    <w:rPr>
                      <w:rFonts w:hint="default" w:ascii="Times New Roman" w:hAnsi="Times New Roman" w:cs="Times New Roman"/>
                      <w:color w:val="auto"/>
                      <w:u w:val="none"/>
                    </w:rPr>
                  </w:pPr>
                </w:p>
              </w:tc>
              <w:tc>
                <w:tcPr>
                  <w:tcW w:w="1560" w:type="dxa"/>
                  <w:noWrap w:val="0"/>
                  <w:vAlign w:val="center"/>
                </w:tcPr>
                <w:p>
                  <w:pPr>
                    <w:widowControl/>
                    <w:jc w:val="center"/>
                    <w:rPr>
                      <w:rFonts w:hint="default" w:ascii="Times New Roman" w:hAnsi="Times New Roman" w:cs="Times New Roman"/>
                      <w:color w:val="auto"/>
                      <w:szCs w:val="21"/>
                      <w:u w:val="none"/>
                    </w:rPr>
                  </w:pPr>
                  <w:r>
                    <w:rPr>
                      <w:rFonts w:hint="default" w:ascii="Times New Roman" w:hAnsi="Times New Roman" w:cs="Times New Roman"/>
                      <w:color w:val="auto"/>
                      <w:kern w:val="0"/>
                      <w:szCs w:val="21"/>
                      <w:u w:val="none"/>
                    </w:rPr>
                    <w:t>墙体外剂量率控制</w:t>
                  </w:r>
                </w:p>
              </w:tc>
              <w:tc>
                <w:tcPr>
                  <w:tcW w:w="3926" w:type="dxa"/>
                  <w:noWrap w:val="0"/>
                  <w:vAlign w:val="center"/>
                </w:tcPr>
                <w:p>
                  <w:pPr>
                    <w:widowControl/>
                    <w:jc w:val="center"/>
                    <w:rPr>
                      <w:rFonts w:hint="default" w:ascii="Times New Roman" w:hAnsi="Times New Roman" w:cs="Times New Roman"/>
                      <w:color w:val="auto"/>
                      <w:kern w:val="0"/>
                      <w:szCs w:val="21"/>
                      <w:u w:val="none"/>
                    </w:rPr>
                  </w:pPr>
                  <w:r>
                    <w:rPr>
                      <w:rFonts w:hint="default" w:ascii="Times New Roman" w:hAnsi="Times New Roman" w:cs="Times New Roman"/>
                      <w:color w:val="auto"/>
                      <w:kern w:val="0"/>
                      <w:szCs w:val="21"/>
                      <w:u w:val="none"/>
                    </w:rPr>
                    <w:t>探伤室四周墙外、防护门外30cm处周</w:t>
                  </w:r>
                </w:p>
                <w:p>
                  <w:pPr>
                    <w:widowControl/>
                    <w:jc w:val="center"/>
                    <w:rPr>
                      <w:rFonts w:hint="default" w:ascii="Times New Roman" w:hAnsi="Times New Roman" w:cs="Times New Roman"/>
                      <w:color w:val="auto"/>
                      <w:kern w:val="0"/>
                      <w:szCs w:val="21"/>
                      <w:u w:val="none"/>
                    </w:rPr>
                  </w:pPr>
                  <w:r>
                    <w:rPr>
                      <w:rFonts w:hint="default" w:ascii="Times New Roman" w:hAnsi="Times New Roman" w:cs="Times New Roman"/>
                      <w:color w:val="auto"/>
                      <w:kern w:val="0"/>
                      <w:szCs w:val="21"/>
                      <w:u w:val="none"/>
                    </w:rPr>
                    <w:t>围剂量当量率不大于2.5µSv/h，顶棚无</w:t>
                  </w:r>
                </w:p>
                <w:p>
                  <w:pPr>
                    <w:pStyle w:val="53"/>
                    <w:rPr>
                      <w:rFonts w:hint="default" w:ascii="Times New Roman" w:hAnsi="Times New Roman" w:cs="Times New Roman"/>
                      <w:color w:val="auto"/>
                      <w:u w:val="none"/>
                    </w:rPr>
                  </w:pPr>
                  <w:r>
                    <w:rPr>
                      <w:rFonts w:hint="default" w:ascii="Times New Roman" w:hAnsi="Times New Roman" w:cs="Times New Roman"/>
                      <w:color w:val="auto"/>
                      <w:kern w:val="0"/>
                      <w:u w:val="none"/>
                    </w:rPr>
                    <w:t>人到达，不得大于100µSv/h</w:t>
                  </w:r>
                </w:p>
              </w:tc>
              <w:tc>
                <w:tcPr>
                  <w:tcW w:w="2017" w:type="dxa"/>
                  <w:noWrap w:val="0"/>
                  <w:vAlign w:val="center"/>
                </w:tcPr>
                <w:p>
                  <w:pPr>
                    <w:widowControl/>
                    <w:jc w:val="center"/>
                    <w:rPr>
                      <w:rFonts w:hint="default" w:ascii="Times New Roman" w:hAnsi="Times New Roman" w:cs="Times New Roman"/>
                      <w:color w:val="auto"/>
                      <w:kern w:val="0"/>
                      <w:szCs w:val="21"/>
                      <w:u w:val="none"/>
                    </w:rPr>
                  </w:pPr>
                  <w:r>
                    <w:rPr>
                      <w:rFonts w:hint="default" w:ascii="Times New Roman" w:hAnsi="Times New Roman" w:cs="Times New Roman"/>
                      <w:color w:val="auto"/>
                      <w:kern w:val="0"/>
                      <w:szCs w:val="21"/>
                      <w:u w:val="none"/>
                    </w:rPr>
                    <w:t>GBZ117-2015</w:t>
                  </w:r>
                </w:p>
                <w:p>
                  <w:pPr>
                    <w:widowControl/>
                    <w:jc w:val="center"/>
                    <w:rPr>
                      <w:rFonts w:hint="default" w:ascii="Times New Roman" w:hAnsi="Times New Roman" w:cs="Times New Roman"/>
                      <w:color w:val="auto"/>
                      <w:szCs w:val="21"/>
                      <w:u w:val="none"/>
                    </w:rPr>
                  </w:pPr>
                  <w:r>
                    <w:rPr>
                      <w:rFonts w:hint="default" w:ascii="Times New Roman" w:hAnsi="Times New Roman" w:cs="Times New Roman"/>
                      <w:color w:val="auto"/>
                      <w:kern w:val="0"/>
                      <w:szCs w:val="21"/>
                      <w:u w:val="none"/>
                    </w:rPr>
                    <w:t>GBZ/T250-2014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vMerge w:val="continue"/>
                  <w:noWrap w:val="0"/>
                  <w:vAlign w:val="center"/>
                </w:tcPr>
                <w:p>
                  <w:pPr>
                    <w:pStyle w:val="53"/>
                    <w:rPr>
                      <w:rFonts w:hint="default" w:ascii="Times New Roman" w:hAnsi="Times New Roman" w:cs="Times New Roman"/>
                      <w:color w:val="auto"/>
                      <w:u w:val="none"/>
                    </w:rPr>
                  </w:pPr>
                </w:p>
              </w:tc>
              <w:tc>
                <w:tcPr>
                  <w:tcW w:w="1560" w:type="dxa"/>
                  <w:noWrap w:val="0"/>
                  <w:vAlign w:val="center"/>
                </w:tcPr>
                <w:p>
                  <w:pPr>
                    <w:widowControl/>
                    <w:jc w:val="center"/>
                    <w:rPr>
                      <w:rFonts w:hint="default" w:ascii="Times New Roman" w:hAnsi="Times New Roman" w:cs="Times New Roman"/>
                      <w:color w:val="auto"/>
                      <w:szCs w:val="21"/>
                      <w:u w:val="none"/>
                    </w:rPr>
                  </w:pPr>
                  <w:r>
                    <w:rPr>
                      <w:rFonts w:hint="default" w:ascii="Times New Roman" w:hAnsi="Times New Roman" w:cs="Times New Roman"/>
                      <w:color w:val="auto"/>
                      <w:kern w:val="0"/>
                      <w:szCs w:val="21"/>
                      <w:u w:val="none"/>
                    </w:rPr>
                    <w:t>设备要求</w:t>
                  </w:r>
                </w:p>
              </w:tc>
              <w:tc>
                <w:tcPr>
                  <w:tcW w:w="3926" w:type="dxa"/>
                  <w:noWrap w:val="0"/>
                  <w:vAlign w:val="center"/>
                </w:tcPr>
                <w:p>
                  <w:pPr>
                    <w:widowControl/>
                    <w:jc w:val="center"/>
                    <w:rPr>
                      <w:rFonts w:hint="default" w:ascii="Times New Roman" w:hAnsi="Times New Roman" w:cs="Times New Roman"/>
                      <w:color w:val="auto"/>
                      <w:kern w:val="0"/>
                      <w:szCs w:val="21"/>
                      <w:u w:val="none"/>
                    </w:rPr>
                  </w:pPr>
                  <w:r>
                    <w:rPr>
                      <w:rFonts w:hint="default" w:ascii="Times New Roman" w:hAnsi="Times New Roman" w:cs="Times New Roman"/>
                      <w:color w:val="auto"/>
                      <w:kern w:val="0"/>
                      <w:szCs w:val="21"/>
                      <w:u w:val="none"/>
                    </w:rPr>
                    <w:t>管电压</w:t>
                  </w:r>
                  <w:r>
                    <w:rPr>
                      <w:rFonts w:hint="eastAsia" w:ascii="Times New Roman" w:hAnsi="Times New Roman" w:cs="Times New Roman"/>
                      <w:color w:val="auto"/>
                      <w:kern w:val="0"/>
                      <w:szCs w:val="21"/>
                      <w:u w:val="none"/>
                      <w:lang w:val="en-US" w:eastAsia="zh-CN"/>
                    </w:rPr>
                    <w:t>大于</w:t>
                  </w:r>
                  <w:r>
                    <w:rPr>
                      <w:rFonts w:hint="default" w:ascii="Times New Roman" w:hAnsi="Times New Roman" w:cs="Times New Roman"/>
                      <w:color w:val="auto"/>
                      <w:kern w:val="0"/>
                      <w:szCs w:val="21"/>
                      <w:u w:val="none"/>
                    </w:rPr>
                    <w:t>200kV：X射线管焦点1m处</w:t>
                  </w:r>
                </w:p>
                <w:p>
                  <w:pPr>
                    <w:pStyle w:val="53"/>
                    <w:rPr>
                      <w:rFonts w:hint="default" w:ascii="Times New Roman" w:hAnsi="Times New Roman" w:cs="Times New Roman"/>
                      <w:color w:val="auto"/>
                      <w:u w:val="none"/>
                    </w:rPr>
                  </w:pPr>
                  <w:r>
                    <w:rPr>
                      <w:rFonts w:hint="default" w:ascii="Times New Roman" w:hAnsi="Times New Roman" w:cs="Times New Roman"/>
                      <w:color w:val="auto"/>
                      <w:kern w:val="0"/>
                      <w:u w:val="none"/>
                    </w:rPr>
                    <w:t>的漏射线空气比释动能率：＜</w:t>
                  </w:r>
                  <w:r>
                    <w:rPr>
                      <w:rFonts w:hint="eastAsia" w:cs="Times New Roman"/>
                      <w:color w:val="auto"/>
                      <w:kern w:val="0"/>
                      <w:u w:val="none"/>
                      <w:lang w:val="en-US" w:eastAsia="zh-CN"/>
                    </w:rPr>
                    <w:t>5</w:t>
                  </w:r>
                  <w:r>
                    <w:rPr>
                      <w:rFonts w:hint="default" w:ascii="Times New Roman" w:hAnsi="Times New Roman" w:cs="Times New Roman"/>
                      <w:color w:val="auto"/>
                      <w:kern w:val="0"/>
                      <w:u w:val="none"/>
                    </w:rPr>
                    <w:t>mGy/h</w:t>
                  </w:r>
                </w:p>
              </w:tc>
              <w:tc>
                <w:tcPr>
                  <w:tcW w:w="2017" w:type="dxa"/>
                  <w:noWrap w:val="0"/>
                  <w:vAlign w:val="center"/>
                </w:tcPr>
                <w:p>
                  <w:pPr>
                    <w:pStyle w:val="53"/>
                    <w:rPr>
                      <w:rFonts w:hint="default" w:ascii="Times New Roman" w:hAnsi="Times New Roman" w:cs="Times New Roman"/>
                      <w:color w:val="auto"/>
                      <w:u w:val="none"/>
                    </w:rPr>
                  </w:pPr>
                  <w:r>
                    <w:rPr>
                      <w:rFonts w:hint="default" w:ascii="Times New Roman" w:hAnsi="Times New Roman" w:cs="Times New Roman"/>
                      <w:color w:val="auto"/>
                      <w:u w:val="none"/>
                    </w:rPr>
                    <w:t>GBZ117-2015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noWrap w:val="0"/>
                  <w:vAlign w:val="center"/>
                </w:tcPr>
                <w:p>
                  <w:pPr>
                    <w:pStyle w:val="53"/>
                    <w:rPr>
                      <w:rFonts w:hint="default" w:ascii="Times New Roman" w:hAnsi="Times New Roman" w:cs="Times New Roman"/>
                      <w:color w:val="auto"/>
                      <w:u w:val="none"/>
                    </w:rPr>
                  </w:pPr>
                  <w:r>
                    <w:rPr>
                      <w:rFonts w:hint="default" w:ascii="Times New Roman" w:hAnsi="Times New Roman" w:cs="Times New Roman"/>
                      <w:color w:val="auto"/>
                      <w:u w:val="none"/>
                    </w:rPr>
                    <w:t>4</w:t>
                  </w:r>
                </w:p>
              </w:tc>
              <w:tc>
                <w:tcPr>
                  <w:tcW w:w="1560" w:type="dxa"/>
                  <w:noWrap w:val="0"/>
                  <w:vAlign w:val="center"/>
                </w:tcPr>
                <w:p>
                  <w:pPr>
                    <w:widowControl/>
                    <w:jc w:val="center"/>
                    <w:rPr>
                      <w:rFonts w:hint="default" w:ascii="Times New Roman" w:hAnsi="Times New Roman" w:cs="Times New Roman"/>
                      <w:color w:val="auto"/>
                      <w:kern w:val="0"/>
                      <w:szCs w:val="21"/>
                      <w:u w:val="none"/>
                    </w:rPr>
                  </w:pPr>
                  <w:r>
                    <w:rPr>
                      <w:rFonts w:hint="default" w:ascii="Times New Roman" w:hAnsi="Times New Roman" w:cs="Times New Roman"/>
                      <w:color w:val="auto"/>
                      <w:kern w:val="0"/>
                      <w:szCs w:val="21"/>
                      <w:u w:val="none"/>
                    </w:rPr>
                    <w:t>辐射防护</w:t>
                  </w:r>
                </w:p>
                <w:p>
                  <w:pPr>
                    <w:widowControl/>
                    <w:jc w:val="center"/>
                    <w:rPr>
                      <w:rFonts w:hint="default" w:ascii="Times New Roman" w:hAnsi="Times New Roman" w:cs="Times New Roman"/>
                      <w:color w:val="auto"/>
                      <w:kern w:val="0"/>
                      <w:szCs w:val="21"/>
                      <w:u w:val="none"/>
                    </w:rPr>
                  </w:pPr>
                  <w:r>
                    <w:rPr>
                      <w:rFonts w:hint="default" w:ascii="Times New Roman" w:hAnsi="Times New Roman" w:cs="Times New Roman"/>
                      <w:color w:val="auto"/>
                      <w:kern w:val="0"/>
                      <w:szCs w:val="21"/>
                      <w:u w:val="none"/>
                    </w:rPr>
                    <w:t>设施</w:t>
                  </w:r>
                </w:p>
              </w:tc>
              <w:tc>
                <w:tcPr>
                  <w:tcW w:w="3926" w:type="dxa"/>
                  <w:noWrap w:val="0"/>
                  <w:vAlign w:val="center"/>
                </w:tcPr>
                <w:p>
                  <w:pPr>
                    <w:widowControl/>
                    <w:jc w:val="center"/>
                    <w:rPr>
                      <w:rFonts w:hint="default" w:ascii="Times New Roman" w:hAnsi="Times New Roman" w:cs="Times New Roman"/>
                      <w:color w:val="auto"/>
                      <w:kern w:val="0"/>
                      <w:szCs w:val="21"/>
                      <w:u w:val="none"/>
                    </w:rPr>
                  </w:pPr>
                  <w:r>
                    <w:rPr>
                      <w:rFonts w:hint="default" w:ascii="Times New Roman" w:hAnsi="Times New Roman" w:cs="Times New Roman"/>
                      <w:color w:val="auto"/>
                      <w:kern w:val="0"/>
                      <w:szCs w:val="21"/>
                      <w:u w:val="none"/>
                    </w:rPr>
                    <w:t xml:space="preserve">警示标志、工作状态指示灯设置位置合理，正常工作；安全联锁（探伤室门机联锁、灯机联锁）、室内及室外紧急停机开关等正常运行；探伤室视频监控设备正常运行； </w:t>
                  </w:r>
                </w:p>
              </w:tc>
              <w:tc>
                <w:tcPr>
                  <w:tcW w:w="2017" w:type="dxa"/>
                  <w:noWrap w:val="0"/>
                  <w:vAlign w:val="center"/>
                </w:tcPr>
                <w:p>
                  <w:pPr>
                    <w:widowControl/>
                    <w:jc w:val="center"/>
                    <w:rPr>
                      <w:rFonts w:hint="default" w:ascii="Times New Roman" w:hAnsi="Times New Roman" w:cs="Times New Roman"/>
                      <w:color w:val="auto"/>
                      <w:kern w:val="0"/>
                      <w:szCs w:val="21"/>
                      <w:u w:val="none"/>
                    </w:rPr>
                  </w:pPr>
                  <w:r>
                    <w:rPr>
                      <w:rFonts w:hint="default" w:ascii="Times New Roman" w:hAnsi="Times New Roman" w:cs="Times New Roman"/>
                      <w:color w:val="auto"/>
                      <w:kern w:val="0"/>
                      <w:szCs w:val="21"/>
                      <w:u w:val="none"/>
                    </w:rPr>
                    <w:t>GB18871-2002</w:t>
                  </w:r>
                </w:p>
                <w:p>
                  <w:pPr>
                    <w:pStyle w:val="53"/>
                    <w:rPr>
                      <w:rFonts w:hint="default" w:ascii="Times New Roman" w:hAnsi="Times New Roman" w:cs="Times New Roman"/>
                      <w:color w:val="auto"/>
                      <w:u w:val="none"/>
                    </w:rPr>
                  </w:pPr>
                  <w:r>
                    <w:rPr>
                      <w:rFonts w:hint="default" w:ascii="Times New Roman" w:hAnsi="Times New Roman" w:cs="Times New Roman"/>
                      <w:color w:val="auto"/>
                      <w:kern w:val="0"/>
                      <w:u w:val="none"/>
                    </w:rPr>
                    <w:t>GBZ117-2015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62" w:type="dxa"/>
                  <w:noWrap w:val="0"/>
                  <w:vAlign w:val="center"/>
                </w:tcPr>
                <w:p>
                  <w:pPr>
                    <w:pStyle w:val="53"/>
                    <w:rPr>
                      <w:rFonts w:hint="default" w:ascii="Times New Roman" w:hAnsi="Times New Roman" w:cs="Times New Roman"/>
                      <w:color w:val="auto"/>
                      <w:u w:val="none"/>
                    </w:rPr>
                  </w:pPr>
                  <w:r>
                    <w:rPr>
                      <w:rFonts w:hint="default" w:ascii="Times New Roman" w:hAnsi="Times New Roman" w:cs="Times New Roman"/>
                      <w:color w:val="auto"/>
                      <w:u w:val="none"/>
                    </w:rPr>
                    <w:t>5</w:t>
                  </w:r>
                </w:p>
              </w:tc>
              <w:tc>
                <w:tcPr>
                  <w:tcW w:w="1560" w:type="dxa"/>
                  <w:noWrap w:val="0"/>
                  <w:vAlign w:val="center"/>
                </w:tcPr>
                <w:p>
                  <w:pPr>
                    <w:pStyle w:val="53"/>
                    <w:rPr>
                      <w:rFonts w:hint="default" w:ascii="Times New Roman" w:hAnsi="Times New Roman" w:cs="Times New Roman"/>
                      <w:color w:val="auto"/>
                      <w:u w:val="none"/>
                    </w:rPr>
                  </w:pPr>
                  <w:r>
                    <w:rPr>
                      <w:rFonts w:hint="default" w:ascii="Times New Roman" w:hAnsi="Times New Roman" w:cs="Times New Roman"/>
                      <w:color w:val="auto"/>
                      <w:u w:val="none"/>
                    </w:rPr>
                    <w:t>人员管理</w:t>
                  </w:r>
                </w:p>
              </w:tc>
              <w:tc>
                <w:tcPr>
                  <w:tcW w:w="3926" w:type="dxa"/>
                  <w:noWrap w:val="0"/>
                  <w:vAlign w:val="center"/>
                </w:tcPr>
                <w:p>
                  <w:pPr>
                    <w:pStyle w:val="53"/>
                    <w:rPr>
                      <w:rFonts w:hint="default" w:ascii="Times New Roman" w:hAnsi="Times New Roman" w:cs="Times New Roman"/>
                      <w:color w:val="auto"/>
                      <w:u w:val="none"/>
                    </w:rPr>
                  </w:pPr>
                  <w:r>
                    <w:rPr>
                      <w:rFonts w:hint="default" w:ascii="Times New Roman" w:hAnsi="Times New Roman" w:cs="Times New Roman"/>
                      <w:color w:val="auto"/>
                      <w:u w:val="none"/>
                    </w:rPr>
                    <w:t>放射工作人员2人；放射工作人员上岗前必须通过国家核技术利用辐射安全与防护培训平台核技术利用辐射安全与防护考核，</w:t>
                  </w:r>
                  <w:r>
                    <w:rPr>
                      <w:rFonts w:hint="default" w:ascii="Times New Roman" w:hAnsi="Times New Roman" w:cs="Times New Roman"/>
                      <w:color w:val="auto"/>
                      <w:kern w:val="0"/>
                      <w:u w:val="none"/>
                    </w:rPr>
                    <w:t>每五年接受一次再培训</w:t>
                  </w:r>
                  <w:r>
                    <w:rPr>
                      <w:rFonts w:hint="default" w:ascii="Times New Roman" w:hAnsi="Times New Roman" w:cs="Times New Roman"/>
                      <w:color w:val="auto"/>
                      <w:u w:val="none"/>
                    </w:rPr>
                    <w:t>；每2年参加1次职业健康体检；佩戴个人剂量计，每个季度送检1次；放射工作人员资料信息安排专人管理</w:t>
                  </w:r>
                </w:p>
              </w:tc>
              <w:tc>
                <w:tcPr>
                  <w:tcW w:w="2017" w:type="dxa"/>
                  <w:noWrap w:val="0"/>
                  <w:vAlign w:val="center"/>
                </w:tcPr>
                <w:p>
                  <w:pPr>
                    <w:pStyle w:val="53"/>
                    <w:rPr>
                      <w:rFonts w:hint="default" w:ascii="Times New Roman" w:hAnsi="Times New Roman" w:cs="Times New Roman"/>
                      <w:color w:val="auto"/>
                      <w:u w:val="none"/>
                    </w:rPr>
                  </w:pPr>
                  <w:r>
                    <w:rPr>
                      <w:rFonts w:hint="default" w:ascii="Times New Roman" w:hAnsi="Times New Roman" w:cs="Times New Roman"/>
                      <w:color w:val="auto"/>
                      <w:u w:val="none"/>
                    </w:rPr>
                    <w:t>环境保护部令第47号；</w:t>
                  </w:r>
                </w:p>
                <w:p>
                  <w:pPr>
                    <w:pStyle w:val="53"/>
                    <w:rPr>
                      <w:rFonts w:hint="default" w:ascii="Times New Roman" w:hAnsi="Times New Roman" w:cs="Times New Roman"/>
                      <w:color w:val="auto"/>
                      <w:u w:val="none"/>
                    </w:rPr>
                  </w:pPr>
                  <w:r>
                    <w:rPr>
                      <w:rFonts w:hint="default" w:ascii="Times New Roman" w:hAnsi="Times New Roman" w:cs="Times New Roman"/>
                      <w:color w:val="auto"/>
                      <w:u w:val="none"/>
                    </w:rPr>
                    <w:t>环境保护部令第18号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noWrap w:val="0"/>
                  <w:vAlign w:val="center"/>
                </w:tcPr>
                <w:p>
                  <w:pPr>
                    <w:pStyle w:val="53"/>
                    <w:rPr>
                      <w:rFonts w:hint="default" w:ascii="Times New Roman" w:hAnsi="Times New Roman" w:cs="Times New Roman"/>
                      <w:color w:val="auto"/>
                      <w:u w:val="none"/>
                    </w:rPr>
                  </w:pPr>
                  <w:r>
                    <w:rPr>
                      <w:rFonts w:hint="default" w:ascii="Times New Roman" w:hAnsi="Times New Roman" w:cs="Times New Roman"/>
                      <w:color w:val="auto"/>
                      <w:u w:val="none"/>
                    </w:rPr>
                    <w:t>6</w:t>
                  </w:r>
                </w:p>
              </w:tc>
              <w:tc>
                <w:tcPr>
                  <w:tcW w:w="1560" w:type="dxa"/>
                  <w:noWrap w:val="0"/>
                  <w:vAlign w:val="center"/>
                </w:tcPr>
                <w:p>
                  <w:pPr>
                    <w:pStyle w:val="53"/>
                    <w:rPr>
                      <w:rFonts w:hint="default" w:ascii="Times New Roman" w:hAnsi="Times New Roman" w:cs="Times New Roman"/>
                      <w:color w:val="auto"/>
                      <w:u w:val="none"/>
                    </w:rPr>
                  </w:pPr>
                  <w:r>
                    <w:rPr>
                      <w:rFonts w:hint="default" w:ascii="Times New Roman" w:hAnsi="Times New Roman" w:cs="Times New Roman"/>
                      <w:color w:val="auto"/>
                      <w:u w:val="none"/>
                    </w:rPr>
                    <w:t>监测、防护设备配置</w:t>
                  </w:r>
                </w:p>
              </w:tc>
              <w:tc>
                <w:tcPr>
                  <w:tcW w:w="3926" w:type="dxa"/>
                  <w:noWrap w:val="0"/>
                  <w:vAlign w:val="center"/>
                </w:tcPr>
                <w:p>
                  <w:pPr>
                    <w:pStyle w:val="53"/>
                    <w:rPr>
                      <w:rFonts w:hint="default" w:ascii="Times New Roman" w:hAnsi="Times New Roman" w:cs="Times New Roman"/>
                      <w:color w:val="auto"/>
                      <w:u w:val="none"/>
                    </w:rPr>
                  </w:pPr>
                  <w:r>
                    <w:rPr>
                      <w:rFonts w:hint="default" w:ascii="Times New Roman" w:hAnsi="Times New Roman" w:cs="Times New Roman"/>
                      <w:color w:val="auto"/>
                      <w:kern w:val="0"/>
                      <w:u w:val="none"/>
                    </w:rPr>
                    <w:t>配置便携式X－γ射线剂量率测量仪1台、固定式剂量监测报警仪1台、</w:t>
                  </w:r>
                  <w:r>
                    <w:rPr>
                      <w:rFonts w:hint="default" w:ascii="Times New Roman" w:hAnsi="Times New Roman" w:cs="Times New Roman"/>
                      <w:color w:val="auto"/>
                      <w:u w:val="none"/>
                    </w:rPr>
                    <w:t>便携式剂量报警仪</w:t>
                  </w:r>
                  <w:r>
                    <w:rPr>
                      <w:rFonts w:hint="eastAsia" w:cs="Times New Roman"/>
                      <w:color w:val="auto"/>
                      <w:u w:val="none"/>
                      <w:lang w:val="en-US" w:eastAsia="zh-CN"/>
                    </w:rPr>
                    <w:t>2</w:t>
                  </w:r>
                  <w:r>
                    <w:rPr>
                      <w:rFonts w:hint="default" w:ascii="Times New Roman" w:hAnsi="Times New Roman" w:cs="Times New Roman"/>
                      <w:color w:val="auto"/>
                      <w:u w:val="none"/>
                    </w:rPr>
                    <w:t>台、个人剂量计</w:t>
                  </w:r>
                  <w:r>
                    <w:rPr>
                      <w:rFonts w:hint="eastAsia" w:cs="Times New Roman"/>
                      <w:color w:val="auto"/>
                      <w:u w:val="none"/>
                      <w:lang w:val="en-US" w:eastAsia="zh-CN"/>
                    </w:rPr>
                    <w:t>2</w:t>
                  </w:r>
                  <w:r>
                    <w:rPr>
                      <w:rFonts w:hint="default" w:ascii="Times New Roman" w:hAnsi="Times New Roman" w:cs="Times New Roman"/>
                      <w:color w:val="auto"/>
                      <w:u w:val="none"/>
                    </w:rPr>
                    <w:t>个</w:t>
                  </w:r>
                </w:p>
              </w:tc>
              <w:tc>
                <w:tcPr>
                  <w:tcW w:w="2017" w:type="dxa"/>
                  <w:noWrap w:val="0"/>
                  <w:vAlign w:val="center"/>
                </w:tcPr>
                <w:p>
                  <w:pPr>
                    <w:pStyle w:val="53"/>
                    <w:rPr>
                      <w:rFonts w:hint="default" w:ascii="Times New Roman" w:hAnsi="Times New Roman" w:cs="Times New Roman"/>
                      <w:color w:val="auto"/>
                      <w:u w:val="none"/>
                    </w:rPr>
                  </w:pPr>
                  <w:r>
                    <w:rPr>
                      <w:rFonts w:hint="default" w:ascii="Times New Roman" w:hAnsi="Times New Roman" w:cs="Times New Roman"/>
                      <w:color w:val="auto"/>
                      <w:u w:val="none"/>
                    </w:rPr>
                    <w:t>环境保护部令第47号</w:t>
                  </w:r>
                </w:p>
              </w:tc>
            </w:tr>
          </w:tbl>
          <w:p>
            <w:pPr>
              <w:pStyle w:val="47"/>
              <w:rPr>
                <w:rFonts w:hint="default" w:ascii="Times New Roman" w:hAnsi="Times New Roman" w:cs="Times New Roman"/>
                <w:color w:val="auto"/>
              </w:rPr>
            </w:pPr>
          </w:p>
        </w:tc>
      </w:tr>
    </w:tbl>
    <w:p>
      <w:pPr>
        <w:pStyle w:val="51"/>
        <w:rPr>
          <w:color w:val="auto"/>
        </w:rPr>
        <w:sectPr>
          <w:pgSz w:w="11906" w:h="16838"/>
          <w:pgMar w:top="1440" w:right="1800" w:bottom="1440" w:left="1800" w:header="851" w:footer="992" w:gutter="0"/>
          <w:cols w:space="720" w:num="1"/>
          <w:docGrid w:type="lines" w:linePitch="312" w:charSpace="0"/>
        </w:sectPr>
      </w:pPr>
    </w:p>
    <w:p>
      <w:pPr>
        <w:pStyle w:val="51"/>
        <w:rPr>
          <w:color w:val="auto"/>
        </w:rPr>
      </w:pPr>
      <w:bookmarkStart w:id="134" w:name="_Toc29501"/>
      <w:r>
        <w:rPr>
          <w:rFonts w:hint="eastAsia"/>
          <w:color w:val="auto"/>
        </w:rPr>
        <w:t>表13结论与建议</w:t>
      </w:r>
      <w:bookmarkEnd w:id="134"/>
    </w:p>
    <w:tbl>
      <w:tblPr>
        <w:tblStyle w:val="23"/>
        <w:tblW w:w="85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41" w:hRule="atLeast"/>
        </w:trPr>
        <w:tc>
          <w:tcPr>
            <w:tcW w:w="8505" w:type="dxa"/>
            <w:noWrap w:val="0"/>
            <w:vAlign w:val="top"/>
          </w:tcPr>
          <w:p>
            <w:pPr>
              <w:pStyle w:val="45"/>
              <w:spacing w:before="156" w:after="156"/>
              <w:rPr>
                <w:rFonts w:hint="default" w:ascii="Times New Roman" w:hAnsi="Times New Roman" w:cs="Times New Roman"/>
                <w:color w:val="auto"/>
              </w:rPr>
            </w:pPr>
            <w:r>
              <w:rPr>
                <w:rFonts w:hint="default" w:ascii="Times New Roman" w:hAnsi="Times New Roman" w:cs="Times New Roman"/>
                <w:color w:val="auto"/>
              </w:rPr>
              <w:t>13.1项目概况</w:t>
            </w:r>
          </w:p>
          <w:p>
            <w:pPr>
              <w:pStyle w:val="47"/>
              <w:rPr>
                <w:rFonts w:hint="default" w:ascii="Times New Roman" w:hAnsi="Times New Roman" w:cs="Times New Roman"/>
                <w:color w:val="auto"/>
              </w:rPr>
            </w:pPr>
            <w:r>
              <w:rPr>
                <w:rFonts w:hint="eastAsia" w:ascii="宋体" w:hAnsi="宋体"/>
                <w:color w:val="auto"/>
                <w:sz w:val="24"/>
                <w:szCs w:val="24"/>
                <w:lang w:eastAsia="zh-CN"/>
              </w:rPr>
              <w:t>长沙赛恩斯环保工程技术有限公司</w:t>
            </w:r>
            <w:r>
              <w:rPr>
                <w:rFonts w:hint="eastAsia" w:ascii="宋体" w:hAnsi="宋体"/>
                <w:color w:val="auto"/>
                <w:sz w:val="24"/>
                <w:szCs w:val="24"/>
                <w:lang w:val="en-US" w:eastAsia="zh-CN"/>
              </w:rPr>
              <w:t>原名</w:t>
            </w:r>
            <w:r>
              <w:rPr>
                <w:rFonts w:hint="eastAsia"/>
                <w:color w:val="auto"/>
              </w:rPr>
              <w:t>长沙赛恩斯环保科技有限公司（以下简称：公司）成立于2009年7月，是中南大学环境学院的学科性公司。</w:t>
            </w:r>
            <w:r>
              <w:rPr>
                <w:rFonts w:hint="eastAsia"/>
                <w:color w:val="auto"/>
                <w:u w:val="none"/>
              </w:rPr>
              <w:t>为</w:t>
            </w:r>
            <w:r>
              <w:rPr>
                <w:rFonts w:hint="eastAsia"/>
                <w:color w:val="auto"/>
                <w:u w:val="none"/>
                <w:lang w:val="en-US" w:eastAsia="zh-CN"/>
              </w:rPr>
              <w:t>满足</w:t>
            </w:r>
            <w:r>
              <w:rPr>
                <w:rFonts w:hint="eastAsia"/>
                <w:color w:val="auto"/>
                <w:u w:val="none"/>
              </w:rPr>
              <w:t>企业</w:t>
            </w:r>
            <w:r>
              <w:rPr>
                <w:rFonts w:hint="eastAsia"/>
                <w:color w:val="auto"/>
                <w:u w:val="none"/>
                <w:lang w:val="en-US" w:eastAsia="zh-CN"/>
              </w:rPr>
              <w:t>压力容器生产的发展需求</w:t>
            </w:r>
            <w:r>
              <w:rPr>
                <w:rFonts w:hint="eastAsia"/>
                <w:color w:val="auto"/>
                <w:u w:val="none"/>
              </w:rPr>
              <w:t>，</w:t>
            </w:r>
            <w:r>
              <w:rPr>
                <w:rFonts w:hint="eastAsia"/>
                <w:color w:val="auto"/>
                <w:u w:val="none"/>
                <w:lang w:eastAsia="zh-CN"/>
              </w:rPr>
              <w:t>长沙赛恩斯环保工程技术有限公司</w:t>
            </w:r>
            <w:r>
              <w:rPr>
                <w:rFonts w:hint="eastAsia"/>
                <w:color w:val="auto"/>
                <w:u w:val="none"/>
              </w:rPr>
              <w:t>拟在</w:t>
            </w:r>
            <w:r>
              <w:rPr>
                <w:rFonts w:hint="eastAsia"/>
                <w:color w:val="auto"/>
                <w:u w:val="none"/>
                <w:lang w:val="en-US" w:eastAsia="zh-CN"/>
              </w:rPr>
              <w:t>成套设备生产车间内</w:t>
            </w:r>
            <w:r>
              <w:rPr>
                <w:rFonts w:hint="eastAsia"/>
                <w:color w:val="auto"/>
                <w:u w:val="none"/>
              </w:rPr>
              <w:t>建设一间探伤室，使用</w:t>
            </w:r>
            <w:r>
              <w:rPr>
                <w:rFonts w:hint="eastAsia"/>
                <w:color w:val="auto"/>
                <w:u w:val="none"/>
                <w:lang w:val="en-US" w:eastAsia="zh-CN"/>
              </w:rPr>
              <w:t>ZXFlasee S-450型X射线数字成像(DR)检测系统</w:t>
            </w:r>
            <w:r>
              <w:rPr>
                <w:rFonts w:hint="eastAsia"/>
                <w:color w:val="auto"/>
                <w:u w:val="none"/>
              </w:rPr>
              <w:t>，</w:t>
            </w:r>
            <w:r>
              <w:rPr>
                <w:rFonts w:hint="eastAsia"/>
                <w:color w:val="auto"/>
              </w:rPr>
              <w:t>用于产品的无损检测</w:t>
            </w:r>
            <w:r>
              <w:rPr>
                <w:rFonts w:hint="default" w:ascii="Times New Roman" w:hAnsi="Times New Roman" w:cs="Times New Roman"/>
                <w:color w:val="auto"/>
              </w:rPr>
              <w:t>。</w:t>
            </w:r>
          </w:p>
          <w:p>
            <w:pPr>
              <w:pStyle w:val="45"/>
              <w:spacing w:before="156" w:after="156"/>
              <w:rPr>
                <w:rFonts w:hint="default" w:ascii="Times New Roman" w:hAnsi="Times New Roman" w:cs="Times New Roman"/>
                <w:color w:val="auto"/>
              </w:rPr>
            </w:pPr>
            <w:r>
              <w:rPr>
                <w:rFonts w:hint="default" w:ascii="Times New Roman" w:hAnsi="Times New Roman" w:cs="Times New Roman"/>
                <w:color w:val="auto"/>
              </w:rPr>
              <w:t>13.2实践正当性</w:t>
            </w:r>
          </w:p>
          <w:p>
            <w:pPr>
              <w:pStyle w:val="47"/>
              <w:rPr>
                <w:rFonts w:hint="default" w:ascii="Times New Roman" w:hAnsi="Times New Roman" w:cs="Times New Roman"/>
                <w:color w:val="auto"/>
              </w:rPr>
            </w:pPr>
            <w:r>
              <w:rPr>
                <w:rFonts w:hint="default" w:ascii="Times New Roman" w:hAnsi="Times New Roman" w:cs="Times New Roman"/>
                <w:color w:val="auto"/>
              </w:rPr>
              <w:t>本项目的建设是为了满足生产要求，采用X射线探伤的目的是为了实现对工件的无损检测，确保产品质量、使用安全，且本项目探伤室的防护性能符合国家相关标准，使得设备的使用对环境的辐射影响小于它带来的社会效益和经济效益，因此项目开展所带来的利益是大于所付出的代价，符合辐射防护“实践的正当性”原则。综上所述，本项目使用X射线探伤机作无损检测是正当可行的。</w:t>
            </w:r>
          </w:p>
          <w:p>
            <w:pPr>
              <w:pStyle w:val="45"/>
              <w:spacing w:before="156" w:after="156"/>
              <w:rPr>
                <w:rFonts w:hint="default" w:ascii="Times New Roman" w:hAnsi="Times New Roman" w:cs="Times New Roman"/>
                <w:color w:val="auto"/>
              </w:rPr>
            </w:pPr>
            <w:r>
              <w:rPr>
                <w:rFonts w:hint="default" w:ascii="Times New Roman" w:hAnsi="Times New Roman" w:cs="Times New Roman"/>
                <w:color w:val="auto"/>
                <w:kern w:val="0"/>
              </w:rPr>
              <w:t>13.3</w:t>
            </w:r>
            <w:r>
              <w:rPr>
                <w:rFonts w:hint="default" w:ascii="Times New Roman" w:hAnsi="Times New Roman" w:cs="Times New Roman"/>
                <w:color w:val="auto"/>
              </w:rPr>
              <w:t>产业政策符合性分析</w:t>
            </w:r>
          </w:p>
          <w:p>
            <w:pPr>
              <w:pStyle w:val="47"/>
              <w:rPr>
                <w:rFonts w:hint="eastAsia" w:ascii="Times New Roman" w:hAnsi="Times New Roman" w:eastAsia="宋体" w:cs="Times New Roman"/>
                <w:color w:val="auto"/>
                <w:lang w:eastAsia="zh-CN"/>
              </w:rPr>
            </w:pPr>
            <w:r>
              <w:rPr>
                <w:rFonts w:hint="default" w:ascii="Times New Roman" w:hAnsi="Times New Roman" w:cs="Times New Roman"/>
                <w:color w:val="auto"/>
              </w:rPr>
              <w:t>本项目的建设属于《产业结构调整指导目录（2019 年本）》“第一类鼓励类”中“十四机械”中的第 6 条“工业 CT、三维超声波探伤仪等无损检测设备”，属于国家鼓励类产业，项目符合国家产业政策</w:t>
            </w:r>
            <w:r>
              <w:rPr>
                <w:rFonts w:hint="eastAsia" w:cs="Times New Roman"/>
                <w:color w:val="auto"/>
                <w:lang w:eastAsia="zh-CN"/>
              </w:rPr>
              <w:t>。</w:t>
            </w:r>
          </w:p>
          <w:p>
            <w:pPr>
              <w:pStyle w:val="45"/>
              <w:spacing w:before="156" w:after="156"/>
              <w:rPr>
                <w:rFonts w:hint="default" w:ascii="Times New Roman" w:hAnsi="Times New Roman" w:cs="Times New Roman"/>
                <w:color w:val="auto"/>
              </w:rPr>
            </w:pPr>
            <w:r>
              <w:rPr>
                <w:rFonts w:hint="default" w:ascii="Times New Roman" w:hAnsi="Times New Roman" w:cs="Times New Roman"/>
                <w:color w:val="auto"/>
              </w:rPr>
              <w:t xml:space="preserve"> 13.4环境质量现状</w:t>
            </w:r>
          </w:p>
          <w:p>
            <w:pPr>
              <w:pStyle w:val="47"/>
              <w:rPr>
                <w:rFonts w:hint="default" w:ascii="Times New Roman" w:hAnsi="Times New Roman" w:cs="Times New Roman"/>
                <w:color w:val="auto"/>
                <w:kern w:val="0"/>
              </w:rPr>
            </w:pPr>
            <w:r>
              <w:rPr>
                <w:rFonts w:hint="default" w:ascii="Times New Roman" w:hAnsi="Times New Roman" w:cs="Times New Roman"/>
                <w:color w:val="auto"/>
                <w:kern w:val="0"/>
              </w:rPr>
              <w:t>根据现状监测结果，本项目场址辐射环境质量现状良好，探伤室选址远离居民区及周围环境敏感点，有利于辐射防护。项目营运期产生的电离辐射、废气、固体废物等均得到有效治理，达标排放对环境影响小。从环境保护角度分析，项目选址可行。</w:t>
            </w:r>
          </w:p>
          <w:p>
            <w:pPr>
              <w:pStyle w:val="45"/>
              <w:spacing w:before="156" w:after="156"/>
              <w:rPr>
                <w:rFonts w:hint="default" w:ascii="Times New Roman" w:hAnsi="Times New Roman" w:cs="Times New Roman"/>
                <w:color w:val="auto"/>
              </w:rPr>
            </w:pPr>
            <w:r>
              <w:rPr>
                <w:rFonts w:hint="default" w:ascii="Times New Roman" w:hAnsi="Times New Roman" w:cs="Times New Roman"/>
                <w:color w:val="auto"/>
              </w:rPr>
              <w:t>13.5环境影响分析结论</w:t>
            </w:r>
          </w:p>
          <w:p>
            <w:pPr>
              <w:pStyle w:val="42"/>
              <w:rPr>
                <w:rFonts w:hint="default" w:ascii="Times New Roman" w:hAnsi="Times New Roman" w:cs="Times New Roman"/>
                <w:color w:val="auto"/>
                <w:kern w:val="0"/>
              </w:rPr>
            </w:pPr>
            <w:r>
              <w:rPr>
                <w:rFonts w:hint="default" w:ascii="Times New Roman" w:hAnsi="Times New Roman" w:cs="Times New Roman"/>
                <w:color w:val="auto"/>
                <w:kern w:val="0"/>
              </w:rPr>
              <w:t>（1）探伤室的辐射防护</w:t>
            </w:r>
          </w:p>
          <w:p>
            <w:pPr>
              <w:pStyle w:val="47"/>
              <w:rPr>
                <w:rFonts w:hint="default" w:ascii="Times New Roman" w:hAnsi="Times New Roman" w:cs="Times New Roman"/>
                <w:color w:val="auto"/>
                <w:kern w:val="0"/>
              </w:rPr>
            </w:pPr>
            <w:r>
              <w:rPr>
                <w:rFonts w:hint="default" w:ascii="Times New Roman" w:hAnsi="Times New Roman" w:cs="Times New Roman"/>
                <w:color w:val="auto"/>
                <w:kern w:val="0"/>
              </w:rPr>
              <w:t>该公司X射线探伤室严格按照设计进行建设，并以X射线装置最大工况进行屏蔽防护效能核实，本项目X射线检测室的各墙体、顶棚及防护门均能满足屏蔽防护的要求。</w:t>
            </w:r>
          </w:p>
          <w:p>
            <w:pPr>
              <w:pStyle w:val="42"/>
              <w:rPr>
                <w:rFonts w:hint="default" w:ascii="Times New Roman" w:hAnsi="Times New Roman" w:cs="Times New Roman"/>
                <w:color w:val="auto"/>
                <w:kern w:val="0"/>
              </w:rPr>
            </w:pPr>
            <w:r>
              <w:rPr>
                <w:rFonts w:hint="default" w:ascii="Times New Roman" w:hAnsi="Times New Roman" w:cs="Times New Roman"/>
                <w:color w:val="auto"/>
                <w:kern w:val="0"/>
              </w:rPr>
              <w:t>（2）剂量估算结果</w:t>
            </w:r>
          </w:p>
          <w:p>
            <w:pPr>
              <w:pStyle w:val="47"/>
              <w:rPr>
                <w:rFonts w:hint="default" w:ascii="Times New Roman" w:hAnsi="Times New Roman" w:cs="Times New Roman"/>
                <w:color w:val="auto"/>
                <w:kern w:val="0"/>
              </w:rPr>
            </w:pPr>
            <w:r>
              <w:rPr>
                <w:rFonts w:hint="default" w:ascii="Times New Roman" w:hAnsi="Times New Roman" w:cs="Times New Roman"/>
                <w:color w:val="auto"/>
                <w:kern w:val="0"/>
              </w:rPr>
              <w:t>根据本环评的预测计算，该项目在运行过程中对辐射工作人员造成的最大年附加有效剂量为</w:t>
            </w:r>
            <w:r>
              <w:rPr>
                <w:rFonts w:hint="default" w:ascii="Times New Roman" w:hAnsi="Times New Roman" w:cs="Times New Roman"/>
                <w:color w:val="auto"/>
                <w:kern w:val="0"/>
                <w:lang w:val="en-US" w:eastAsia="zh-CN"/>
              </w:rPr>
              <w:t>1.70E-02</w:t>
            </w:r>
            <w:r>
              <w:rPr>
                <w:rFonts w:hint="default" w:ascii="Times New Roman" w:hAnsi="Times New Roman" w:cs="Times New Roman"/>
                <w:color w:val="auto"/>
                <w:kern w:val="0"/>
              </w:rPr>
              <w:t>mSv，对周围非辐射工作人员造成的最大年附加有效剂量为</w:t>
            </w:r>
            <w:r>
              <w:rPr>
                <w:rFonts w:hint="eastAsia" w:cs="Times New Roman"/>
                <w:color w:val="auto"/>
                <w:kern w:val="0"/>
                <w:lang w:val="en-US" w:eastAsia="zh-CN"/>
              </w:rPr>
              <w:t>2.77</w:t>
            </w:r>
            <w:r>
              <w:rPr>
                <w:rFonts w:hint="default" w:ascii="Times New Roman" w:hAnsi="Times New Roman" w:cs="Times New Roman"/>
                <w:color w:val="auto"/>
                <w:kern w:val="0"/>
                <w:lang w:val="en-US" w:eastAsia="zh-CN"/>
              </w:rPr>
              <w:t>E-02</w:t>
            </w:r>
            <w:r>
              <w:rPr>
                <w:rFonts w:hint="default" w:ascii="Times New Roman" w:hAnsi="Times New Roman" w:cs="Times New Roman"/>
                <w:color w:val="auto"/>
                <w:kern w:val="0"/>
              </w:rPr>
              <w:t>mSv，符合《电离辐射防护与辐射源安全基本标准》（GB18871－2002）剂量限值的要求，以及企业的剂量管理目标值。</w:t>
            </w:r>
          </w:p>
          <w:p>
            <w:pPr>
              <w:pStyle w:val="42"/>
              <w:rPr>
                <w:rFonts w:hint="default" w:ascii="Times New Roman" w:hAnsi="Times New Roman" w:cs="Times New Roman"/>
                <w:color w:val="auto"/>
                <w:kern w:val="0"/>
              </w:rPr>
            </w:pPr>
            <w:r>
              <w:rPr>
                <w:rFonts w:hint="default" w:ascii="Times New Roman" w:hAnsi="Times New Roman" w:cs="Times New Roman"/>
                <w:color w:val="auto"/>
                <w:kern w:val="0"/>
              </w:rPr>
              <w:t>（3）敏感点的影响</w:t>
            </w:r>
          </w:p>
          <w:p>
            <w:pPr>
              <w:pStyle w:val="47"/>
              <w:rPr>
                <w:rFonts w:hint="default" w:ascii="Times New Roman" w:hAnsi="Times New Roman" w:cs="Times New Roman"/>
                <w:color w:val="auto"/>
                <w:kern w:val="0"/>
              </w:rPr>
            </w:pPr>
            <w:r>
              <w:rPr>
                <w:rFonts w:hint="default" w:ascii="Times New Roman" w:hAnsi="Times New Roman" w:cs="Times New Roman"/>
                <w:color w:val="auto"/>
                <w:kern w:val="0"/>
              </w:rPr>
              <w:t>根据预测，X射线检测室墙体外30cm处周围剂量当量率不大于2.5μSv/h，顶棚上30cm处周围剂量当量率不大于100μSv/h。同时X射线探伤室位置相对独立，周边人员活动较少，在X射线随距离的增加而快速减弱下，周围受到的辐射影响</w:t>
            </w:r>
            <w:r>
              <w:rPr>
                <w:rFonts w:hint="eastAsia" w:cs="Times New Roman"/>
                <w:color w:val="auto"/>
                <w:kern w:val="0"/>
                <w:lang w:val="en-US" w:eastAsia="zh-CN"/>
              </w:rPr>
              <w:t>较小</w:t>
            </w:r>
            <w:r>
              <w:rPr>
                <w:rFonts w:hint="default" w:ascii="Times New Roman" w:hAnsi="Times New Roman" w:cs="Times New Roman"/>
                <w:color w:val="auto"/>
                <w:kern w:val="0"/>
              </w:rPr>
              <w:t>。</w:t>
            </w:r>
          </w:p>
          <w:p>
            <w:pPr>
              <w:pStyle w:val="42"/>
              <w:rPr>
                <w:rFonts w:hint="default" w:ascii="Times New Roman" w:hAnsi="Times New Roman" w:cs="Times New Roman"/>
                <w:color w:val="auto"/>
                <w:kern w:val="0"/>
              </w:rPr>
            </w:pPr>
            <w:r>
              <w:rPr>
                <w:rFonts w:hint="default" w:ascii="Times New Roman" w:hAnsi="Times New Roman" w:cs="Times New Roman"/>
                <w:color w:val="auto"/>
                <w:kern w:val="0"/>
              </w:rPr>
              <w:t>（4）其他影响</w:t>
            </w:r>
          </w:p>
          <w:p>
            <w:pPr>
              <w:pStyle w:val="47"/>
              <w:rPr>
                <w:rFonts w:hint="default" w:ascii="Times New Roman" w:hAnsi="Times New Roman" w:cs="Times New Roman"/>
                <w:color w:val="auto"/>
                <w:kern w:val="0"/>
              </w:rPr>
            </w:pPr>
            <w:r>
              <w:rPr>
                <w:rFonts w:hint="default" w:ascii="Times New Roman" w:hAnsi="Times New Roman" w:cs="Times New Roman"/>
                <w:color w:val="auto"/>
                <w:kern w:val="0"/>
              </w:rPr>
              <w:t>在使用X射线装置进行无损检测时，X射线使空气电离产生少量臭氧及氮氧化物，探伤室内按要求设置通风装置，保证空气流通，室内臭氧在通风换气的条件下，室内气体通过</w:t>
            </w:r>
            <w:bookmarkStart w:id="136" w:name="_GoBack"/>
            <w:bookmarkEnd w:id="136"/>
            <w:r>
              <w:rPr>
                <w:rFonts w:hint="default" w:ascii="Times New Roman" w:hAnsi="Times New Roman" w:cs="Times New Roman"/>
                <w:color w:val="auto"/>
                <w:kern w:val="0"/>
              </w:rPr>
              <w:t>通风口排出室外，使室内废气浓度满足要求。</w:t>
            </w:r>
          </w:p>
          <w:p>
            <w:pPr>
              <w:pStyle w:val="47"/>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洗片过程产生的废显影液、定影液、清洗废水，以及废胶片、存档到期的胶片均一并作为危险废物在暗室和控制室的危险废物贮存容器暂存，并委托有危险废物处理资质的单位进行处理。</w:t>
            </w:r>
          </w:p>
          <w:p>
            <w:pPr>
              <w:pStyle w:val="47"/>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公司在项目运行前应尽快与有处理危废资质的单位签订处理协议并尽快建立危废台帐，记录危废产生量、处置量及去向，保证不对外环境造成影响。建议对临时储存显影液、定影液及废片采取防止泄漏等相关措施，不致因泄漏而外排；对盛装危险废物的容器上必须粘贴符合要求的标签、使用符合标准的容器盛装危险废物等。</w:t>
            </w:r>
          </w:p>
          <w:p>
            <w:pPr>
              <w:pStyle w:val="45"/>
              <w:spacing w:before="156" w:after="156"/>
              <w:rPr>
                <w:rFonts w:hint="default" w:ascii="Times New Roman" w:hAnsi="Times New Roman" w:cs="Times New Roman"/>
                <w:color w:val="auto"/>
                <w:kern w:val="0"/>
              </w:rPr>
            </w:pPr>
            <w:r>
              <w:rPr>
                <w:rFonts w:hint="default" w:ascii="Times New Roman" w:hAnsi="Times New Roman" w:cs="Times New Roman"/>
                <w:color w:val="auto"/>
                <w:kern w:val="0"/>
              </w:rPr>
              <w:t>13.6辐射安全防护相关制度</w:t>
            </w:r>
          </w:p>
          <w:p>
            <w:pPr>
              <w:pStyle w:val="47"/>
              <w:rPr>
                <w:rFonts w:hint="default" w:ascii="Times New Roman" w:hAnsi="Times New Roman" w:cs="Times New Roman"/>
                <w:color w:val="auto"/>
                <w:kern w:val="0"/>
              </w:rPr>
            </w:pPr>
            <w:r>
              <w:rPr>
                <w:rFonts w:hint="eastAsia" w:cs="Times New Roman"/>
                <w:color w:val="auto"/>
                <w:kern w:val="0"/>
                <w:lang w:eastAsia="zh-CN"/>
              </w:rPr>
              <w:t>长沙赛恩斯环保工程技术有限公司</w:t>
            </w:r>
            <w:r>
              <w:rPr>
                <w:rFonts w:hint="eastAsia" w:cs="Times New Roman"/>
                <w:color w:val="auto"/>
                <w:kern w:val="0"/>
                <w:lang w:val="en-US" w:eastAsia="zh-CN"/>
              </w:rPr>
              <w:t>计划</w:t>
            </w:r>
            <w:r>
              <w:rPr>
                <w:rFonts w:hint="default" w:ascii="Times New Roman" w:hAnsi="Times New Roman" w:cs="Times New Roman"/>
                <w:color w:val="auto"/>
              </w:rPr>
              <w:t>成立了辐射安全防护领导小组，并承诺新从事辐射活动的人员，以及原持有的辐射安全培训合格证书到期的人员，上岗前必须通过国家核技术利用辐射安全与防护培训平台核技术利用辐射安全与防护考核</w:t>
            </w:r>
            <w:r>
              <w:rPr>
                <w:rFonts w:hint="default" w:ascii="Times New Roman" w:hAnsi="Times New Roman" w:cs="Times New Roman"/>
                <w:color w:val="auto"/>
                <w:kern w:val="0"/>
              </w:rPr>
              <w:t>。为辐射工作人员配置个人剂量计并进行个人剂量检测的工作、按要求组织安排辐射工作人员进行职业健康检查，并制定各项辐射安全管理相关的规章制度。</w:t>
            </w:r>
          </w:p>
          <w:p>
            <w:pPr>
              <w:pStyle w:val="47"/>
              <w:rPr>
                <w:rFonts w:hint="default" w:ascii="Times New Roman" w:hAnsi="Times New Roman" w:cs="Times New Roman"/>
                <w:color w:val="auto"/>
                <w:kern w:val="0"/>
              </w:rPr>
            </w:pPr>
            <w:r>
              <w:rPr>
                <w:rFonts w:hint="default" w:ascii="Times New Roman" w:hAnsi="Times New Roman" w:cs="Times New Roman"/>
                <w:color w:val="auto"/>
                <w:kern w:val="0"/>
              </w:rPr>
              <w:t>综上所述</w:t>
            </w:r>
            <w:r>
              <w:rPr>
                <w:rFonts w:hint="eastAsia" w:cs="Times New Roman"/>
                <w:color w:val="auto"/>
                <w:lang w:eastAsia="zh-CN"/>
              </w:rPr>
              <w:t>长沙赛恩斯环保工程技术有限公司压力容器制造无损检测探伤房建设项目</w:t>
            </w:r>
            <w:r>
              <w:rPr>
                <w:rFonts w:hint="default" w:ascii="Times New Roman" w:hAnsi="Times New Roman" w:cs="Times New Roman"/>
                <w:color w:val="auto"/>
              </w:rPr>
              <w:t>在落实各项屏蔽措施和规范管理操作的情况下，</w:t>
            </w:r>
            <w:r>
              <w:rPr>
                <w:rFonts w:hint="default" w:ascii="Times New Roman" w:hAnsi="Times New Roman" w:cs="Times New Roman"/>
                <w:color w:val="auto"/>
                <w:kern w:val="0"/>
              </w:rPr>
              <w:t>对周围环境产生的辐射影响能满足相关标准的要求；辐射防护措施和事故应急措施可行；规章制度基本健全；该项目对环境的辐射环境影响是可接受的。公司应加强管理，严格按照环评措施落实到位，并在工作过程中不断补充完善。从环境保护的角度来看，该项目是可行的。</w:t>
            </w:r>
          </w:p>
          <w:p>
            <w:pPr>
              <w:widowControl/>
              <w:jc w:val="left"/>
              <w:rPr>
                <w:rFonts w:hint="default" w:ascii="Times New Roman" w:hAnsi="Times New Roman" w:cs="Times New Roman"/>
                <w:color w:val="auto"/>
                <w:kern w:val="0"/>
                <w:sz w:val="24"/>
                <w:szCs w:val="24"/>
              </w:rPr>
            </w:pPr>
            <w:r>
              <w:rPr>
                <w:rFonts w:hint="default" w:ascii="Times New Roman" w:hAnsi="Times New Roman" w:cs="Times New Roman"/>
                <w:b/>
                <w:bCs/>
                <w:color w:val="auto"/>
                <w:kern w:val="0"/>
                <w:sz w:val="24"/>
                <w:szCs w:val="24"/>
              </w:rPr>
              <w:t>13.7要求</w:t>
            </w:r>
          </w:p>
          <w:p>
            <w:pPr>
              <w:pStyle w:val="47"/>
              <w:rPr>
                <w:rFonts w:hint="default" w:ascii="Times New Roman" w:hAnsi="Times New Roman" w:cs="Times New Roman"/>
                <w:color w:val="auto"/>
                <w:kern w:val="0"/>
              </w:rPr>
            </w:pPr>
            <w:r>
              <w:rPr>
                <w:rFonts w:hint="default" w:ascii="Times New Roman" w:hAnsi="Times New Roman" w:cs="Times New Roman"/>
                <w:color w:val="auto"/>
                <w:kern w:val="0"/>
              </w:rPr>
              <w:t>1、按照《放射性同位素与射线装置安全和防护条例》的要求，做好自主管理，制定工作场所和周围环境监测、防护性能监测等相关监测计划以及职业健康体检工作计划，并自购辐射检测设备，确保周围环境的辐射安全和职工健康。</w:t>
            </w:r>
          </w:p>
          <w:p>
            <w:pPr>
              <w:pStyle w:val="47"/>
              <w:rPr>
                <w:rFonts w:hint="default" w:ascii="Times New Roman" w:hAnsi="Times New Roman" w:cs="Times New Roman"/>
                <w:color w:val="auto"/>
                <w:kern w:val="0"/>
              </w:rPr>
            </w:pPr>
            <w:r>
              <w:rPr>
                <w:rFonts w:hint="default" w:ascii="Times New Roman" w:hAnsi="Times New Roman" w:cs="Times New Roman"/>
                <w:color w:val="auto"/>
                <w:kern w:val="0"/>
              </w:rPr>
              <w:t>2、按照《放射性同位素与射线装置安全和防护管理办法》（环境保护部令第18号）中的相关要求办理辐射安全许可证后方可开展无损检测工作。</w:t>
            </w:r>
          </w:p>
          <w:p>
            <w:pPr>
              <w:pStyle w:val="47"/>
              <w:rPr>
                <w:rFonts w:hint="default" w:ascii="Times New Roman" w:hAnsi="Times New Roman" w:cs="Times New Roman"/>
                <w:color w:val="auto"/>
                <w:kern w:val="0"/>
              </w:rPr>
            </w:pPr>
            <w:r>
              <w:rPr>
                <w:rFonts w:hint="default" w:ascii="Times New Roman" w:hAnsi="Times New Roman" w:cs="Times New Roman"/>
                <w:color w:val="auto"/>
                <w:kern w:val="0"/>
              </w:rPr>
              <w:t>3、根据《电离辐射防护与辐射源安全基本标准》（GB18871-2002）第B1.1款的相关规定，公司应每一季度定期对从事探伤的工作人员进行个人剂量监测。工作人员必须正确配戴个人剂量计。</w:t>
            </w:r>
          </w:p>
          <w:p>
            <w:pPr>
              <w:pStyle w:val="47"/>
              <w:rPr>
                <w:rFonts w:hint="default" w:ascii="Times New Roman" w:hAnsi="Times New Roman" w:cs="Times New Roman"/>
                <w:color w:val="auto"/>
                <w:kern w:val="0"/>
              </w:rPr>
            </w:pPr>
            <w:r>
              <w:rPr>
                <w:rFonts w:hint="default" w:ascii="Times New Roman" w:hAnsi="Times New Roman" w:cs="Times New Roman"/>
                <w:color w:val="auto"/>
                <w:kern w:val="0"/>
              </w:rPr>
              <w:t>4、加强辐射工作人员专业知识学习，增强责任感，严格遵守操作规程和规章制度，减少人为因素导致人员意外照射事故的发生。定期对参加辐射工作的工作人员进行防护知识与安全培训，考核合格后，方可进行X射线无损检测工作。</w:t>
            </w:r>
          </w:p>
          <w:p>
            <w:pPr>
              <w:pStyle w:val="47"/>
              <w:rPr>
                <w:rFonts w:hint="default" w:ascii="Times New Roman" w:hAnsi="Times New Roman" w:cs="Times New Roman"/>
                <w:color w:val="auto"/>
                <w:kern w:val="0"/>
              </w:rPr>
            </w:pPr>
            <w:r>
              <w:rPr>
                <w:rFonts w:hint="default" w:ascii="Times New Roman" w:hAnsi="Times New Roman" w:cs="Times New Roman"/>
                <w:color w:val="auto"/>
                <w:kern w:val="0"/>
              </w:rPr>
              <w:t>5、根据《建设项目竣工环境保护验收暂行办法》相关规定要求开展竣工环境保护验收工作。</w:t>
            </w:r>
          </w:p>
          <w:p>
            <w:pPr>
              <w:pStyle w:val="47"/>
              <w:rPr>
                <w:rFonts w:hint="default" w:ascii="Times New Roman" w:hAnsi="Times New Roman" w:cs="Times New Roman"/>
                <w:color w:val="auto"/>
                <w:kern w:val="0"/>
              </w:rPr>
            </w:pPr>
            <w:r>
              <w:rPr>
                <w:rFonts w:hint="default" w:ascii="Times New Roman" w:hAnsi="Times New Roman" w:cs="Times New Roman"/>
                <w:color w:val="auto"/>
                <w:kern w:val="0"/>
              </w:rPr>
              <w:t>6、对公司辐射装置的安全和防护状况进行年度评估，编写辐射安全和防护状况年度自查评估报告，并于每年1月31日前提交发证机关。</w:t>
            </w:r>
          </w:p>
          <w:p>
            <w:pPr>
              <w:pStyle w:val="45"/>
              <w:spacing w:before="156" w:after="156"/>
              <w:rPr>
                <w:rFonts w:hint="default" w:ascii="Times New Roman" w:hAnsi="Times New Roman" w:cs="Times New Roman"/>
                <w:color w:val="auto"/>
                <w:kern w:val="0"/>
              </w:rPr>
            </w:pPr>
            <w:r>
              <w:rPr>
                <w:rFonts w:hint="default" w:ascii="Times New Roman" w:hAnsi="Times New Roman" w:cs="Times New Roman"/>
                <w:color w:val="auto"/>
                <w:kern w:val="0"/>
              </w:rPr>
              <w:t>13.8建议</w:t>
            </w:r>
          </w:p>
          <w:p>
            <w:pPr>
              <w:pStyle w:val="47"/>
              <w:rPr>
                <w:rFonts w:hint="default" w:ascii="Times New Roman" w:hAnsi="Times New Roman" w:cs="Times New Roman"/>
                <w:color w:val="auto"/>
              </w:rPr>
            </w:pPr>
            <w:r>
              <w:rPr>
                <w:rFonts w:hint="default" w:ascii="Times New Roman" w:hAnsi="Times New Roman" w:cs="Times New Roman"/>
                <w:color w:val="auto"/>
                <w:kern w:val="0"/>
              </w:rPr>
              <w:t>公司应加强内部管理，合理使用X射线装置，明确管理职责，杜绝各类辐射事故的发生。公司应细化、完善各项管理制度，并认真落实，严格按照各项规章制度、操作规程执行。</w:t>
            </w:r>
          </w:p>
        </w:tc>
      </w:tr>
    </w:tbl>
    <w:p>
      <w:pPr>
        <w:rPr>
          <w:color w:val="auto"/>
        </w:rPr>
        <w:sectPr>
          <w:pgSz w:w="11906" w:h="16838"/>
          <w:pgMar w:top="1440" w:right="1800" w:bottom="1440" w:left="1800" w:header="851" w:footer="992" w:gutter="0"/>
          <w:cols w:space="720" w:num="1"/>
          <w:docGrid w:type="lines" w:linePitch="312" w:charSpace="0"/>
        </w:sectPr>
      </w:pPr>
    </w:p>
    <w:p>
      <w:pPr>
        <w:pStyle w:val="51"/>
        <w:keepNext w:val="0"/>
        <w:keepLines w:val="0"/>
        <w:pageBreakBefore w:val="0"/>
        <w:widowControl w:val="0"/>
        <w:kinsoku/>
        <w:wordWrap/>
        <w:overflowPunct/>
        <w:topLinePunct w:val="0"/>
        <w:autoSpaceDE/>
        <w:autoSpaceDN/>
        <w:bidi w:val="0"/>
        <w:adjustRightInd/>
        <w:snapToGrid/>
        <w:textAlignment w:val="auto"/>
        <w:rPr>
          <w:color w:val="auto"/>
        </w:rPr>
      </w:pPr>
      <w:bookmarkStart w:id="135" w:name="_Toc10765"/>
      <w:r>
        <w:rPr>
          <w:color w:val="auto"/>
        </w:rPr>
        <w:t>表</w:t>
      </w:r>
      <w:r>
        <w:rPr>
          <w:rFonts w:hint="eastAsia"/>
          <w:color w:val="auto"/>
        </w:rPr>
        <w:t>14审批</w:t>
      </w:r>
      <w:bookmarkEnd w:id="135"/>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noWrap w:val="0"/>
            <w:vAlign w:val="top"/>
          </w:tcPr>
          <w:p>
            <w:pPr>
              <w:spacing w:line="360" w:lineRule="auto"/>
              <w:rPr>
                <w:color w:val="auto"/>
                <w:sz w:val="24"/>
                <w:szCs w:val="24"/>
              </w:rPr>
            </w:pPr>
            <w:r>
              <w:rPr>
                <w:color w:val="auto"/>
                <w:sz w:val="24"/>
                <w:szCs w:val="24"/>
              </w:rPr>
              <w:t>下一级环保部门预审意见：</w:t>
            </w:r>
          </w:p>
          <w:p>
            <w:pPr>
              <w:spacing w:line="360" w:lineRule="auto"/>
              <w:rPr>
                <w:color w:val="auto"/>
                <w:sz w:val="24"/>
                <w:szCs w:val="24"/>
              </w:rPr>
            </w:pPr>
          </w:p>
          <w:p>
            <w:pPr>
              <w:spacing w:line="360" w:lineRule="auto"/>
              <w:rPr>
                <w:color w:val="auto"/>
                <w:sz w:val="24"/>
                <w:szCs w:val="24"/>
              </w:rPr>
            </w:pPr>
          </w:p>
          <w:p>
            <w:pPr>
              <w:spacing w:line="360" w:lineRule="auto"/>
              <w:rPr>
                <w:color w:val="auto"/>
                <w:sz w:val="24"/>
                <w:szCs w:val="24"/>
              </w:rPr>
            </w:pPr>
          </w:p>
          <w:p>
            <w:pPr>
              <w:spacing w:line="360" w:lineRule="auto"/>
              <w:rPr>
                <w:color w:val="auto"/>
                <w:sz w:val="24"/>
                <w:szCs w:val="24"/>
              </w:rPr>
            </w:pPr>
          </w:p>
          <w:p>
            <w:pPr>
              <w:spacing w:line="360" w:lineRule="auto"/>
              <w:rPr>
                <w:color w:val="auto"/>
                <w:sz w:val="24"/>
                <w:szCs w:val="24"/>
              </w:rPr>
            </w:pPr>
          </w:p>
          <w:p>
            <w:pPr>
              <w:spacing w:line="360" w:lineRule="auto"/>
              <w:rPr>
                <w:color w:val="auto"/>
                <w:sz w:val="24"/>
                <w:szCs w:val="24"/>
              </w:rPr>
            </w:pPr>
          </w:p>
          <w:p>
            <w:pPr>
              <w:spacing w:line="360" w:lineRule="auto"/>
              <w:rPr>
                <w:color w:val="auto"/>
                <w:sz w:val="24"/>
                <w:szCs w:val="24"/>
              </w:rPr>
            </w:pPr>
          </w:p>
          <w:p>
            <w:pPr>
              <w:spacing w:line="360" w:lineRule="auto"/>
              <w:rPr>
                <w:color w:val="auto"/>
                <w:sz w:val="24"/>
                <w:szCs w:val="24"/>
              </w:rPr>
            </w:pPr>
          </w:p>
          <w:p>
            <w:pPr>
              <w:spacing w:line="360" w:lineRule="auto"/>
              <w:rPr>
                <w:color w:val="auto"/>
                <w:sz w:val="24"/>
                <w:szCs w:val="24"/>
              </w:rPr>
            </w:pPr>
          </w:p>
          <w:p>
            <w:pPr>
              <w:spacing w:line="360" w:lineRule="auto"/>
              <w:rPr>
                <w:color w:val="auto"/>
                <w:sz w:val="24"/>
                <w:szCs w:val="24"/>
              </w:rPr>
            </w:pPr>
          </w:p>
          <w:p>
            <w:pPr>
              <w:spacing w:line="360" w:lineRule="auto"/>
              <w:rPr>
                <w:color w:val="auto"/>
                <w:sz w:val="24"/>
                <w:szCs w:val="24"/>
              </w:rPr>
            </w:pPr>
            <w:r>
              <w:rPr>
                <w:color w:val="auto"/>
                <w:sz w:val="24"/>
                <w:szCs w:val="24"/>
              </w:rPr>
              <w:tab/>
            </w:r>
            <w:r>
              <w:rPr>
                <w:rFonts w:hint="eastAsia"/>
                <w:color w:val="auto"/>
                <w:sz w:val="24"/>
                <w:szCs w:val="24"/>
              </w:rPr>
              <w:tab/>
            </w:r>
            <w:r>
              <w:rPr>
                <w:color w:val="auto"/>
                <w:sz w:val="24"/>
                <w:szCs w:val="24"/>
              </w:rPr>
              <w:tab/>
            </w:r>
            <w:r>
              <w:rPr>
                <w:rFonts w:hint="eastAsia"/>
                <w:color w:val="auto"/>
                <w:sz w:val="24"/>
                <w:szCs w:val="24"/>
              </w:rPr>
              <w:tab/>
            </w:r>
            <w:r>
              <w:rPr>
                <w:color w:val="auto"/>
                <w:sz w:val="24"/>
                <w:szCs w:val="24"/>
              </w:rPr>
              <w:tab/>
            </w:r>
            <w:r>
              <w:rPr>
                <w:rFonts w:hint="eastAsia"/>
                <w:color w:val="auto"/>
                <w:sz w:val="24"/>
                <w:szCs w:val="24"/>
              </w:rPr>
              <w:tab/>
            </w:r>
            <w:r>
              <w:rPr>
                <w:color w:val="auto"/>
                <w:sz w:val="24"/>
                <w:szCs w:val="24"/>
              </w:rPr>
              <w:tab/>
            </w:r>
            <w:r>
              <w:rPr>
                <w:rFonts w:hint="eastAsia"/>
                <w:color w:val="auto"/>
                <w:sz w:val="24"/>
                <w:szCs w:val="24"/>
              </w:rPr>
              <w:tab/>
            </w:r>
            <w:r>
              <w:rPr>
                <w:color w:val="auto"/>
                <w:sz w:val="24"/>
                <w:szCs w:val="24"/>
              </w:rPr>
              <w:tab/>
            </w:r>
            <w:r>
              <w:rPr>
                <w:rFonts w:hint="eastAsia"/>
                <w:color w:val="auto"/>
                <w:sz w:val="24"/>
                <w:szCs w:val="24"/>
              </w:rPr>
              <w:tab/>
            </w:r>
            <w:r>
              <w:rPr>
                <w:color w:val="auto"/>
                <w:sz w:val="24"/>
                <w:szCs w:val="24"/>
              </w:rPr>
              <w:tab/>
            </w:r>
            <w:r>
              <w:rPr>
                <w:rFonts w:hint="eastAsia"/>
                <w:color w:val="auto"/>
                <w:sz w:val="24"/>
                <w:szCs w:val="24"/>
              </w:rPr>
              <w:tab/>
            </w:r>
            <w:r>
              <w:rPr>
                <w:color w:val="auto"/>
                <w:sz w:val="24"/>
                <w:szCs w:val="24"/>
              </w:rPr>
              <w:tab/>
            </w:r>
            <w:r>
              <w:rPr>
                <w:rFonts w:hint="eastAsia"/>
                <w:color w:val="auto"/>
                <w:sz w:val="24"/>
                <w:szCs w:val="24"/>
              </w:rPr>
              <w:t xml:space="preserve"> </w:t>
            </w:r>
            <w:r>
              <w:rPr>
                <w:rFonts w:hint="eastAsia"/>
                <w:color w:val="auto"/>
                <w:sz w:val="24"/>
                <w:szCs w:val="24"/>
              </w:rPr>
              <w:tab/>
            </w:r>
            <w:r>
              <w:rPr>
                <w:color w:val="auto"/>
                <w:sz w:val="24"/>
                <w:szCs w:val="24"/>
              </w:rPr>
              <w:tab/>
            </w:r>
            <w:r>
              <w:rPr>
                <w:rFonts w:hint="eastAsia"/>
                <w:color w:val="auto"/>
                <w:sz w:val="24"/>
                <w:szCs w:val="24"/>
              </w:rPr>
              <w:t xml:space="preserve">                                          公   章</w:t>
            </w:r>
          </w:p>
          <w:p>
            <w:pPr>
              <w:spacing w:line="360" w:lineRule="auto"/>
              <w:ind w:firstLine="5280" w:firstLineChars="2200"/>
              <w:rPr>
                <w:color w:val="auto"/>
              </w:rPr>
            </w:pPr>
            <w:r>
              <w:rPr>
                <w:color w:val="auto"/>
                <w:sz w:val="24"/>
                <w:szCs w:val="24"/>
              </w:rPr>
              <w:t>经办人</w:t>
            </w:r>
            <w:r>
              <w:rPr>
                <w:rFonts w:hint="eastAsia"/>
                <w:color w:val="auto"/>
                <w:sz w:val="24"/>
                <w:szCs w:val="24"/>
              </w:rPr>
              <w:tab/>
            </w:r>
            <w:r>
              <w:rPr>
                <w:color w:val="auto"/>
                <w:sz w:val="24"/>
                <w:szCs w:val="24"/>
              </w:rPr>
              <w:tab/>
            </w:r>
            <w:r>
              <w:rPr>
                <w:rFonts w:hint="eastAsia"/>
                <w:color w:val="auto"/>
                <w:sz w:val="24"/>
                <w:szCs w:val="24"/>
              </w:rPr>
              <w:tab/>
            </w:r>
            <w:r>
              <w:rPr>
                <w:color w:val="auto"/>
                <w:sz w:val="24"/>
                <w:szCs w:val="24"/>
              </w:rPr>
              <w:tab/>
            </w:r>
            <w:r>
              <w:rPr>
                <w:rFonts w:hint="eastAsia"/>
                <w:color w:val="auto"/>
                <w:sz w:val="24"/>
                <w:szCs w:val="24"/>
              </w:rPr>
              <w:tab/>
            </w:r>
            <w:r>
              <w:rPr>
                <w:color w:val="auto"/>
                <w:sz w:val="24"/>
                <w:szCs w:val="24"/>
              </w:rPr>
              <w:tab/>
            </w:r>
            <w:r>
              <w:rPr>
                <w:rFonts w:hint="eastAsia"/>
                <w:color w:val="auto"/>
                <w:sz w:val="24"/>
                <w:szCs w:val="24"/>
              </w:rPr>
              <w:tab/>
            </w:r>
            <w:r>
              <w:rPr>
                <w:color w:val="auto"/>
                <w:sz w:val="24"/>
                <w:szCs w:val="24"/>
              </w:rPr>
              <w:tab/>
            </w:r>
            <w:r>
              <w:rPr>
                <w:rFonts w:hint="eastAsia"/>
                <w:color w:val="auto"/>
                <w:sz w:val="24"/>
                <w:szCs w:val="24"/>
              </w:rPr>
              <w:tab/>
            </w:r>
            <w:r>
              <w:rPr>
                <w:color w:val="auto"/>
                <w:sz w:val="24"/>
                <w:szCs w:val="24"/>
              </w:rPr>
              <w:tab/>
            </w:r>
            <w:r>
              <w:rPr>
                <w:rFonts w:hint="eastAsia"/>
                <w:color w:val="auto"/>
                <w:sz w:val="24"/>
                <w:szCs w:val="24"/>
              </w:rPr>
              <w:tab/>
            </w:r>
            <w:r>
              <w:rPr>
                <w:color w:val="auto"/>
                <w:sz w:val="24"/>
                <w:szCs w:val="24"/>
              </w:rPr>
              <w:tab/>
            </w:r>
            <w:r>
              <w:rPr>
                <w:rFonts w:hint="eastAsia"/>
                <w:color w:val="auto"/>
                <w:sz w:val="24"/>
                <w:szCs w:val="24"/>
              </w:rPr>
              <w:tab/>
            </w:r>
            <w:r>
              <w:rPr>
                <w:rFonts w:hint="eastAsia"/>
                <w:color w:val="auto"/>
                <w:sz w:val="24"/>
                <w:szCs w:val="24"/>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noWrap w:val="0"/>
            <w:vAlign w:val="top"/>
          </w:tcPr>
          <w:p>
            <w:pPr>
              <w:spacing w:line="360" w:lineRule="auto"/>
              <w:rPr>
                <w:color w:val="auto"/>
                <w:sz w:val="24"/>
                <w:szCs w:val="24"/>
              </w:rPr>
            </w:pPr>
            <w:r>
              <w:rPr>
                <w:color w:val="auto"/>
                <w:sz w:val="24"/>
                <w:szCs w:val="24"/>
              </w:rPr>
              <w:t>审批意见：</w:t>
            </w:r>
          </w:p>
          <w:p>
            <w:pPr>
              <w:spacing w:line="360" w:lineRule="auto"/>
              <w:rPr>
                <w:color w:val="auto"/>
                <w:sz w:val="24"/>
                <w:szCs w:val="24"/>
              </w:rPr>
            </w:pPr>
          </w:p>
          <w:p>
            <w:pPr>
              <w:spacing w:line="360" w:lineRule="auto"/>
              <w:rPr>
                <w:color w:val="auto"/>
                <w:sz w:val="24"/>
                <w:szCs w:val="24"/>
              </w:rPr>
            </w:pPr>
          </w:p>
          <w:p>
            <w:pPr>
              <w:spacing w:line="360" w:lineRule="auto"/>
              <w:rPr>
                <w:color w:val="auto"/>
                <w:sz w:val="24"/>
                <w:szCs w:val="24"/>
              </w:rPr>
            </w:pPr>
          </w:p>
          <w:p>
            <w:pPr>
              <w:spacing w:line="360" w:lineRule="auto"/>
              <w:rPr>
                <w:color w:val="auto"/>
                <w:sz w:val="24"/>
                <w:szCs w:val="24"/>
              </w:rPr>
            </w:pPr>
          </w:p>
          <w:p>
            <w:pPr>
              <w:spacing w:line="360" w:lineRule="auto"/>
              <w:rPr>
                <w:color w:val="auto"/>
                <w:sz w:val="24"/>
                <w:szCs w:val="24"/>
              </w:rPr>
            </w:pPr>
          </w:p>
          <w:p>
            <w:pPr>
              <w:spacing w:line="360" w:lineRule="auto"/>
              <w:rPr>
                <w:color w:val="auto"/>
                <w:sz w:val="24"/>
                <w:szCs w:val="24"/>
              </w:rPr>
            </w:pPr>
          </w:p>
          <w:p>
            <w:pPr>
              <w:spacing w:line="360" w:lineRule="auto"/>
              <w:rPr>
                <w:color w:val="auto"/>
                <w:sz w:val="24"/>
                <w:szCs w:val="24"/>
              </w:rPr>
            </w:pPr>
          </w:p>
          <w:p>
            <w:pPr>
              <w:spacing w:line="360" w:lineRule="auto"/>
              <w:rPr>
                <w:color w:val="auto"/>
                <w:sz w:val="24"/>
                <w:szCs w:val="24"/>
              </w:rPr>
            </w:pPr>
          </w:p>
          <w:p>
            <w:pPr>
              <w:spacing w:line="360" w:lineRule="auto"/>
              <w:rPr>
                <w:color w:val="auto"/>
                <w:sz w:val="24"/>
                <w:szCs w:val="24"/>
              </w:rPr>
            </w:pPr>
          </w:p>
          <w:p>
            <w:pPr>
              <w:spacing w:line="360" w:lineRule="auto"/>
              <w:rPr>
                <w:color w:val="auto"/>
                <w:sz w:val="24"/>
                <w:szCs w:val="24"/>
              </w:rPr>
            </w:pPr>
          </w:p>
          <w:p>
            <w:pPr>
              <w:spacing w:line="360" w:lineRule="auto"/>
              <w:rPr>
                <w:color w:val="auto"/>
                <w:sz w:val="24"/>
                <w:szCs w:val="24"/>
              </w:rPr>
            </w:pPr>
          </w:p>
          <w:p>
            <w:pPr>
              <w:spacing w:line="360" w:lineRule="auto"/>
              <w:rPr>
                <w:color w:val="auto"/>
                <w:sz w:val="24"/>
                <w:szCs w:val="24"/>
              </w:rPr>
            </w:pPr>
            <w:r>
              <w:rPr>
                <w:color w:val="auto"/>
                <w:sz w:val="24"/>
                <w:szCs w:val="24"/>
              </w:rPr>
              <w:tab/>
            </w:r>
            <w:r>
              <w:rPr>
                <w:rFonts w:hint="eastAsia"/>
                <w:color w:val="auto"/>
                <w:sz w:val="24"/>
                <w:szCs w:val="24"/>
              </w:rPr>
              <w:tab/>
            </w:r>
            <w:r>
              <w:rPr>
                <w:color w:val="auto"/>
                <w:sz w:val="24"/>
                <w:szCs w:val="24"/>
              </w:rPr>
              <w:tab/>
            </w:r>
            <w:r>
              <w:rPr>
                <w:rFonts w:hint="eastAsia"/>
                <w:color w:val="auto"/>
                <w:sz w:val="24"/>
                <w:szCs w:val="24"/>
              </w:rPr>
              <w:tab/>
            </w:r>
            <w:r>
              <w:rPr>
                <w:color w:val="auto"/>
                <w:sz w:val="24"/>
                <w:szCs w:val="24"/>
              </w:rPr>
              <w:tab/>
            </w:r>
            <w:r>
              <w:rPr>
                <w:rFonts w:hint="eastAsia"/>
                <w:color w:val="auto"/>
                <w:sz w:val="24"/>
                <w:szCs w:val="24"/>
              </w:rPr>
              <w:tab/>
            </w:r>
            <w:r>
              <w:rPr>
                <w:color w:val="auto"/>
                <w:sz w:val="24"/>
                <w:szCs w:val="24"/>
              </w:rPr>
              <w:tab/>
            </w:r>
            <w:r>
              <w:rPr>
                <w:rFonts w:hint="eastAsia"/>
                <w:color w:val="auto"/>
                <w:sz w:val="24"/>
                <w:szCs w:val="24"/>
              </w:rPr>
              <w:tab/>
            </w:r>
            <w:r>
              <w:rPr>
                <w:color w:val="auto"/>
                <w:sz w:val="24"/>
                <w:szCs w:val="24"/>
              </w:rPr>
              <w:tab/>
            </w:r>
            <w:r>
              <w:rPr>
                <w:rFonts w:hint="eastAsia"/>
                <w:color w:val="auto"/>
                <w:sz w:val="24"/>
                <w:szCs w:val="24"/>
              </w:rPr>
              <w:tab/>
            </w:r>
            <w:r>
              <w:rPr>
                <w:color w:val="auto"/>
                <w:sz w:val="24"/>
                <w:szCs w:val="24"/>
              </w:rPr>
              <w:tab/>
            </w:r>
            <w:r>
              <w:rPr>
                <w:rFonts w:hint="eastAsia"/>
                <w:color w:val="auto"/>
                <w:sz w:val="24"/>
                <w:szCs w:val="24"/>
              </w:rPr>
              <w:tab/>
            </w:r>
            <w:r>
              <w:rPr>
                <w:color w:val="auto"/>
                <w:sz w:val="24"/>
                <w:szCs w:val="24"/>
              </w:rPr>
              <w:tab/>
            </w:r>
            <w:r>
              <w:rPr>
                <w:rFonts w:hint="eastAsia"/>
                <w:color w:val="auto"/>
                <w:sz w:val="24"/>
                <w:szCs w:val="24"/>
              </w:rPr>
              <w:tab/>
            </w:r>
            <w:r>
              <w:rPr>
                <w:rFonts w:hint="eastAsia"/>
                <w:color w:val="auto"/>
                <w:sz w:val="24"/>
                <w:szCs w:val="24"/>
              </w:rPr>
              <w:t xml:space="preserve">                                            公   章</w:t>
            </w:r>
          </w:p>
          <w:p>
            <w:pPr>
              <w:spacing w:line="360" w:lineRule="auto"/>
              <w:ind w:firstLine="5280" w:firstLineChars="2200"/>
              <w:rPr>
                <w:color w:val="auto"/>
              </w:rPr>
            </w:pPr>
            <w:r>
              <w:rPr>
                <w:color w:val="auto"/>
                <w:sz w:val="24"/>
                <w:szCs w:val="24"/>
              </w:rPr>
              <w:t>经办人</w:t>
            </w:r>
            <w:r>
              <w:rPr>
                <w:rFonts w:hint="eastAsia"/>
                <w:color w:val="auto"/>
                <w:sz w:val="24"/>
                <w:szCs w:val="24"/>
              </w:rPr>
              <w:tab/>
            </w:r>
            <w:r>
              <w:rPr>
                <w:color w:val="auto"/>
                <w:sz w:val="24"/>
                <w:szCs w:val="24"/>
              </w:rPr>
              <w:tab/>
            </w:r>
            <w:r>
              <w:rPr>
                <w:rFonts w:hint="eastAsia"/>
                <w:color w:val="auto"/>
                <w:sz w:val="24"/>
                <w:szCs w:val="24"/>
              </w:rPr>
              <w:tab/>
            </w:r>
            <w:r>
              <w:rPr>
                <w:color w:val="auto"/>
                <w:sz w:val="24"/>
                <w:szCs w:val="24"/>
              </w:rPr>
              <w:tab/>
            </w:r>
            <w:r>
              <w:rPr>
                <w:rFonts w:hint="eastAsia"/>
                <w:color w:val="auto"/>
                <w:sz w:val="24"/>
                <w:szCs w:val="24"/>
              </w:rPr>
              <w:tab/>
            </w:r>
            <w:r>
              <w:rPr>
                <w:color w:val="auto"/>
                <w:sz w:val="24"/>
                <w:szCs w:val="24"/>
              </w:rPr>
              <w:tab/>
            </w:r>
            <w:r>
              <w:rPr>
                <w:rFonts w:hint="eastAsia"/>
                <w:color w:val="auto"/>
                <w:sz w:val="24"/>
                <w:szCs w:val="24"/>
              </w:rPr>
              <w:tab/>
            </w:r>
            <w:r>
              <w:rPr>
                <w:color w:val="auto"/>
                <w:sz w:val="24"/>
                <w:szCs w:val="24"/>
              </w:rPr>
              <w:tab/>
            </w:r>
            <w:r>
              <w:rPr>
                <w:rFonts w:hint="eastAsia"/>
                <w:color w:val="auto"/>
                <w:sz w:val="24"/>
                <w:szCs w:val="24"/>
              </w:rPr>
              <w:tab/>
            </w:r>
            <w:r>
              <w:rPr>
                <w:color w:val="auto"/>
                <w:sz w:val="24"/>
                <w:szCs w:val="24"/>
              </w:rPr>
              <w:tab/>
            </w:r>
            <w:r>
              <w:rPr>
                <w:rFonts w:hint="eastAsia"/>
                <w:color w:val="auto"/>
                <w:sz w:val="24"/>
                <w:szCs w:val="24"/>
              </w:rPr>
              <w:tab/>
            </w:r>
            <w:r>
              <w:rPr>
                <w:color w:val="auto"/>
                <w:sz w:val="24"/>
                <w:szCs w:val="24"/>
              </w:rPr>
              <w:tab/>
            </w:r>
            <w:r>
              <w:rPr>
                <w:rFonts w:hint="eastAsia"/>
                <w:color w:val="auto"/>
                <w:sz w:val="24"/>
                <w:szCs w:val="24"/>
              </w:rPr>
              <w:tab/>
            </w:r>
            <w:r>
              <w:rPr>
                <w:rFonts w:hint="eastAsia"/>
                <w:color w:val="auto"/>
                <w:sz w:val="24"/>
                <w:szCs w:val="24"/>
              </w:rPr>
              <w:t xml:space="preserve">  年  月  日</w:t>
            </w:r>
          </w:p>
        </w:tc>
      </w:tr>
    </w:tbl>
    <w:p>
      <w:pPr>
        <w:rPr>
          <w:color w:val="auto"/>
        </w:rPr>
      </w:pP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modern"/>
    <w:pitch w:val="default"/>
    <w:sig w:usb0="E0002AFF" w:usb1="C0007841" w:usb2="00000009" w:usb3="00000000" w:csb0="400001FF" w:csb1="FFFF0000"/>
  </w:font>
  <w:font w:name="宋体">
    <w:panose1 w:val="02010600030101010101"/>
    <w:charset w:val="88"/>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swiss"/>
    <w:pitch w:val="default"/>
    <w:sig w:usb0="A00002EF" w:usb1="4000207B" w:usb2="00000000" w:usb3="00000000" w:csb0="2000019F" w:csb1="00000000"/>
  </w:font>
  <w:font w:name="Wingdings 2">
    <w:panose1 w:val="05020102010507070707"/>
    <w:charset w:val="02"/>
    <w:family w:val="roman"/>
    <w:pitch w:val="default"/>
    <w:sig w:usb0="00000000" w:usb1="00000000" w:usb2="00000000" w:usb3="00000000" w:csb0="80000000" w:csb1="00000000"/>
  </w:font>
  <w:font w:name="Ebrima">
    <w:panose1 w:val="02000000000000000000"/>
    <w:charset w:val="00"/>
    <w:family w:val="auto"/>
    <w:pitch w:val="default"/>
    <w:sig w:usb0="A000505F" w:usb1="02000041" w:usb2="00000000" w:usb3="00000404" w:csb0="00000093" w:csb1="00000000"/>
  </w:font>
  <w:font w:name="Cambria Math">
    <w:panose1 w:val="02040503050406030204"/>
    <w:charset w:val="00"/>
    <w:family w:val="auto"/>
    <w:pitch w:val="default"/>
    <w:sig w:usb0="E00002FF" w:usb1="420024FF" w:usb2="00000000" w:usb3="00000000" w:csb0="2000019F" w:csb1="00000000"/>
  </w:font>
  <w:font w:name="等线">
    <w:panose1 w:val="02010600030101010101"/>
    <w:charset w:val="86"/>
    <w:family w:val="auto"/>
    <w:pitch w:val="default"/>
    <w:sig w:usb0="A00002BF" w:usb1="38CF7CFA" w:usb2="00000016" w:usb3="00000000" w:csb0="0004000F" w:csb1="00000000"/>
  </w:font>
  <w:font w:name="TimesNewRomanPSMT">
    <w:altName w:val="等线"/>
    <w:panose1 w:val="00000000000000000000"/>
    <w:charset w:val="86"/>
    <w:family w:val="auto"/>
    <w:pitch w:val="default"/>
    <w:sig w:usb0="00000000" w:usb1="00000000" w:usb2="00000000" w:usb3="00000000" w:csb0="00040000" w:csb1="00000000"/>
  </w:font>
  <w:font w:name="TimesNewRomanPS-BoldMT">
    <w:altName w:val="Times New Roman"/>
    <w:panose1 w:val="00000000000000000000"/>
    <w:charset w:val="00"/>
    <w:family w:val="roman"/>
    <w:pitch w:val="default"/>
    <w:sig w:usb0="00000000" w:usb1="00000000" w:usb2="00000000" w:usb3="00000000" w:csb0="00040001"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center"/>
    </w:pPr>
  </w:p>
  <w:p>
    <w:pPr>
      <w:pStyle w:val="1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center"/>
    </w:pPr>
    <w:r>
      <w:fldChar w:fldCharType="begin"/>
    </w:r>
    <w:r>
      <w:instrText xml:space="preserve">PAGE   \* MERGEFORMAT</w:instrText>
    </w:r>
    <w:r>
      <w:fldChar w:fldCharType="separate"/>
    </w:r>
    <w:r>
      <w:rPr>
        <w:lang w:val="zh-CN"/>
      </w:rPr>
      <w:t>3</w:t>
    </w:r>
    <w:r>
      <w:rPr>
        <w:lang w:val="zh-CN"/>
      </w:rPr>
      <w:fldChar w:fldCharType="end"/>
    </w:r>
  </w:p>
  <w:p>
    <w:pPr>
      <w:pStyle w:val="1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rPr>
        <w:sz w:val="15"/>
        <w:szCs w:val="15"/>
      </w:rPr>
    </w:pPr>
    <w:r>
      <w:rPr>
        <w:rFonts w:hint="eastAsia" w:ascii="宋体" w:hAnsi="宋体"/>
        <w:color w:val="000000"/>
        <w:sz w:val="21"/>
        <w:szCs w:val="21"/>
        <w:lang w:eastAsia="zh-CN"/>
      </w:rPr>
      <w:t>长沙赛恩斯环保工程技术有限公司压力容器制造无损检测探伤房建设项目</w:t>
    </w:r>
    <w:r>
      <w:rPr>
        <w:rFonts w:hint="eastAsia" w:ascii="宋体" w:hAnsi="宋体"/>
        <w:sz w:val="21"/>
        <w:szCs w:val="21"/>
      </w:rPr>
      <w:t>环境影响报告表</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CB179D6"/>
    <w:multiLevelType w:val="singleLevel"/>
    <w:tmpl w:val="8CB179D6"/>
    <w:lvl w:ilvl="0" w:tentative="0">
      <w:start w:val="2"/>
      <w:numFmt w:val="decimal"/>
      <w:suff w:val="nothing"/>
      <w:lvlText w:val="（%1）"/>
      <w:lvlJc w:val="left"/>
    </w:lvl>
  </w:abstractNum>
  <w:abstractNum w:abstractNumId="1">
    <w:nsid w:val="B5CDFEBD"/>
    <w:multiLevelType w:val="singleLevel"/>
    <w:tmpl w:val="B5CDFEBD"/>
    <w:lvl w:ilvl="0" w:tentative="0">
      <w:start w:val="1"/>
      <w:numFmt w:val="decimal"/>
      <w:suff w:val="nothing"/>
      <w:lvlText w:val="（%1）"/>
      <w:lvlJc w:val="left"/>
    </w:lvl>
  </w:abstractNum>
  <w:abstractNum w:abstractNumId="2">
    <w:nsid w:val="E66B078D"/>
    <w:multiLevelType w:val="singleLevel"/>
    <w:tmpl w:val="E66B078D"/>
    <w:lvl w:ilvl="0" w:tentative="0">
      <w:start w:val="1"/>
      <w:numFmt w:val="lowerLetter"/>
      <w:suff w:val="nothing"/>
      <w:lvlText w:val="%1）"/>
      <w:lvlJc w:val="left"/>
    </w:lvl>
  </w:abstractNum>
  <w:abstractNum w:abstractNumId="3">
    <w:nsid w:val="0DD72490"/>
    <w:multiLevelType w:val="multilevel"/>
    <w:tmpl w:val="0DD72490"/>
    <w:lvl w:ilvl="0" w:tentative="0">
      <w:start w:val="1"/>
      <w:numFmt w:val="decimal"/>
      <w:lvlText w:val="（%1）"/>
      <w:lvlJc w:val="left"/>
      <w:pPr>
        <w:ind w:left="420" w:hanging="420"/>
      </w:pPr>
      <w:rPr>
        <w:rFonts w:hint="default" w:ascii="宋体" w:hAnsi="宋体" w:eastAsia="宋体" w:cs="宋体"/>
        <w:spacing w:val="-3"/>
        <w:w w:val="100"/>
        <w:sz w:val="22"/>
        <w:szCs w:val="22"/>
        <w:lang w:val="zh-CN" w:eastAsia="zh-CN" w:bidi="zh-CN"/>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3E49E818"/>
    <w:multiLevelType w:val="singleLevel"/>
    <w:tmpl w:val="3E49E818"/>
    <w:lvl w:ilvl="0" w:tentative="0">
      <w:start w:val="1"/>
      <w:numFmt w:val="decimal"/>
      <w:suff w:val="nothing"/>
      <w:lvlText w:val="（%1）"/>
      <w:lvlJc w:val="left"/>
    </w:lvl>
  </w:abstractNum>
  <w:abstractNum w:abstractNumId="5">
    <w:nsid w:val="4B5A7A5B"/>
    <w:multiLevelType w:val="multilevel"/>
    <w:tmpl w:val="4B5A7A5B"/>
    <w:lvl w:ilvl="0" w:tentative="0">
      <w:start w:val="1"/>
      <w:numFmt w:val="decimal"/>
      <w:lvlText w:val="（%1）"/>
      <w:lvlJc w:val="left"/>
      <w:pPr>
        <w:ind w:left="420" w:hanging="420"/>
      </w:pPr>
      <w:rPr>
        <w:rFonts w:hint="default" w:ascii="宋体" w:hAnsi="宋体" w:eastAsia="宋体" w:cs="宋体"/>
        <w:spacing w:val="-2"/>
        <w:w w:val="100"/>
        <w:sz w:val="22"/>
        <w:szCs w:val="22"/>
        <w:lang w:val="zh-CN" w:eastAsia="zh-CN" w:bidi="zh-CN"/>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6E1E3762"/>
    <w:multiLevelType w:val="multilevel"/>
    <w:tmpl w:val="6E1E3762"/>
    <w:lvl w:ilvl="0" w:tentative="0">
      <w:start w:val="1"/>
      <w:numFmt w:val="decimal"/>
      <w:lvlText w:val="（%1）"/>
      <w:lvlJc w:val="left"/>
      <w:pPr>
        <w:ind w:left="420" w:hanging="420"/>
      </w:pPr>
      <w:rPr>
        <w:rFonts w:hint="default" w:ascii="宋体" w:hAnsi="宋体" w:eastAsia="宋体" w:cs="宋体"/>
        <w:spacing w:val="-3"/>
        <w:w w:val="100"/>
        <w:sz w:val="22"/>
        <w:szCs w:val="22"/>
        <w:lang w:val="zh-CN" w:eastAsia="zh-CN" w:bidi="zh-CN"/>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3"/>
  </w:num>
  <w:num w:numId="3">
    <w:abstractNumId w:val="6"/>
  </w:num>
  <w:num w:numId="4">
    <w:abstractNumId w:val="1"/>
  </w:num>
  <w:num w:numId="5">
    <w:abstractNumId w:val="0"/>
  </w:num>
  <w:num w:numId="6">
    <w:abstractNumId w:val="2"/>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documentProtection w:enforcement="0"/>
  <w:defaultTabStop w:val="60"/>
  <w:hyphenationZone w:val="36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2DF"/>
    <w:rsid w:val="0000031F"/>
    <w:rsid w:val="00000565"/>
    <w:rsid w:val="000006BB"/>
    <w:rsid w:val="0000098B"/>
    <w:rsid w:val="000029A5"/>
    <w:rsid w:val="00002A5F"/>
    <w:rsid w:val="00004BAC"/>
    <w:rsid w:val="000118E6"/>
    <w:rsid w:val="00013990"/>
    <w:rsid w:val="000139C6"/>
    <w:rsid w:val="000146B1"/>
    <w:rsid w:val="00014C42"/>
    <w:rsid w:val="0001532C"/>
    <w:rsid w:val="000158FD"/>
    <w:rsid w:val="00016860"/>
    <w:rsid w:val="000208AE"/>
    <w:rsid w:val="00025FB4"/>
    <w:rsid w:val="00031576"/>
    <w:rsid w:val="00036036"/>
    <w:rsid w:val="00040802"/>
    <w:rsid w:val="000411A8"/>
    <w:rsid w:val="00051075"/>
    <w:rsid w:val="00051492"/>
    <w:rsid w:val="00057922"/>
    <w:rsid w:val="00071DB6"/>
    <w:rsid w:val="000721D1"/>
    <w:rsid w:val="00072CAA"/>
    <w:rsid w:val="00080E56"/>
    <w:rsid w:val="00086A9F"/>
    <w:rsid w:val="00087AF9"/>
    <w:rsid w:val="00090CBE"/>
    <w:rsid w:val="000941D1"/>
    <w:rsid w:val="000A09EA"/>
    <w:rsid w:val="000A1148"/>
    <w:rsid w:val="000A4222"/>
    <w:rsid w:val="000B159F"/>
    <w:rsid w:val="000B26C0"/>
    <w:rsid w:val="000B7E6A"/>
    <w:rsid w:val="000C714F"/>
    <w:rsid w:val="000D0B3E"/>
    <w:rsid w:val="000D448D"/>
    <w:rsid w:val="000D6E26"/>
    <w:rsid w:val="000F05E7"/>
    <w:rsid w:val="000F176F"/>
    <w:rsid w:val="000F1CF4"/>
    <w:rsid w:val="000F22B7"/>
    <w:rsid w:val="00110DD7"/>
    <w:rsid w:val="00111235"/>
    <w:rsid w:val="001125BA"/>
    <w:rsid w:val="001153A1"/>
    <w:rsid w:val="001163BC"/>
    <w:rsid w:val="001200D3"/>
    <w:rsid w:val="001233AF"/>
    <w:rsid w:val="0012684F"/>
    <w:rsid w:val="00130791"/>
    <w:rsid w:val="0013104B"/>
    <w:rsid w:val="00131920"/>
    <w:rsid w:val="001319EA"/>
    <w:rsid w:val="00137D00"/>
    <w:rsid w:val="001403F4"/>
    <w:rsid w:val="001406F8"/>
    <w:rsid w:val="0014527E"/>
    <w:rsid w:val="00146746"/>
    <w:rsid w:val="001514A3"/>
    <w:rsid w:val="001540F0"/>
    <w:rsid w:val="001546CE"/>
    <w:rsid w:val="001553EC"/>
    <w:rsid w:val="001565CF"/>
    <w:rsid w:val="00162890"/>
    <w:rsid w:val="00167BDD"/>
    <w:rsid w:val="00172D72"/>
    <w:rsid w:val="00174FB8"/>
    <w:rsid w:val="00181ECD"/>
    <w:rsid w:val="001847E6"/>
    <w:rsid w:val="00186594"/>
    <w:rsid w:val="00191C4C"/>
    <w:rsid w:val="00194EB9"/>
    <w:rsid w:val="00195A14"/>
    <w:rsid w:val="001B21D2"/>
    <w:rsid w:val="001C0164"/>
    <w:rsid w:val="001C157F"/>
    <w:rsid w:val="001C1A90"/>
    <w:rsid w:val="001C42A8"/>
    <w:rsid w:val="001C55A5"/>
    <w:rsid w:val="001D022C"/>
    <w:rsid w:val="001D260B"/>
    <w:rsid w:val="001D278D"/>
    <w:rsid w:val="001D28BB"/>
    <w:rsid w:val="001D7ED6"/>
    <w:rsid w:val="001E0D67"/>
    <w:rsid w:val="001E187C"/>
    <w:rsid w:val="001E250A"/>
    <w:rsid w:val="001E7030"/>
    <w:rsid w:val="001F6BAB"/>
    <w:rsid w:val="001F7C87"/>
    <w:rsid w:val="00203848"/>
    <w:rsid w:val="002038FF"/>
    <w:rsid w:val="00212F23"/>
    <w:rsid w:val="00222255"/>
    <w:rsid w:val="00223B1E"/>
    <w:rsid w:val="00223FEB"/>
    <w:rsid w:val="002401B0"/>
    <w:rsid w:val="00241F93"/>
    <w:rsid w:val="00242195"/>
    <w:rsid w:val="002445A6"/>
    <w:rsid w:val="002469F6"/>
    <w:rsid w:val="00255B38"/>
    <w:rsid w:val="00261423"/>
    <w:rsid w:val="002614C1"/>
    <w:rsid w:val="002639C4"/>
    <w:rsid w:val="00265196"/>
    <w:rsid w:val="00270F61"/>
    <w:rsid w:val="00271C8B"/>
    <w:rsid w:val="002736ED"/>
    <w:rsid w:val="0028294E"/>
    <w:rsid w:val="0028536D"/>
    <w:rsid w:val="0029283E"/>
    <w:rsid w:val="00294DD6"/>
    <w:rsid w:val="00297031"/>
    <w:rsid w:val="002A7574"/>
    <w:rsid w:val="002B0AE0"/>
    <w:rsid w:val="002B2F5E"/>
    <w:rsid w:val="002B46A7"/>
    <w:rsid w:val="002B4BBF"/>
    <w:rsid w:val="002B65D6"/>
    <w:rsid w:val="002B6B07"/>
    <w:rsid w:val="002D2CA8"/>
    <w:rsid w:val="002D6FDA"/>
    <w:rsid w:val="002E557A"/>
    <w:rsid w:val="002E66CE"/>
    <w:rsid w:val="002F030D"/>
    <w:rsid w:val="002F1829"/>
    <w:rsid w:val="0030634E"/>
    <w:rsid w:val="00324E0E"/>
    <w:rsid w:val="003274AF"/>
    <w:rsid w:val="0033294F"/>
    <w:rsid w:val="00334F26"/>
    <w:rsid w:val="00336763"/>
    <w:rsid w:val="00337DAA"/>
    <w:rsid w:val="003408B5"/>
    <w:rsid w:val="00340E27"/>
    <w:rsid w:val="0034184D"/>
    <w:rsid w:val="00345289"/>
    <w:rsid w:val="00350109"/>
    <w:rsid w:val="00354F96"/>
    <w:rsid w:val="0036008B"/>
    <w:rsid w:val="0036583B"/>
    <w:rsid w:val="0037311E"/>
    <w:rsid w:val="0037432C"/>
    <w:rsid w:val="003804F0"/>
    <w:rsid w:val="003829F0"/>
    <w:rsid w:val="00384F7D"/>
    <w:rsid w:val="0039031D"/>
    <w:rsid w:val="003A1167"/>
    <w:rsid w:val="003A282B"/>
    <w:rsid w:val="003B05A6"/>
    <w:rsid w:val="003B1284"/>
    <w:rsid w:val="003B3691"/>
    <w:rsid w:val="003B4D51"/>
    <w:rsid w:val="003C2231"/>
    <w:rsid w:val="003C56CE"/>
    <w:rsid w:val="003C6353"/>
    <w:rsid w:val="003C7CB4"/>
    <w:rsid w:val="003D14D8"/>
    <w:rsid w:val="003D2862"/>
    <w:rsid w:val="003E4E1D"/>
    <w:rsid w:val="003F2B10"/>
    <w:rsid w:val="00400E93"/>
    <w:rsid w:val="00414767"/>
    <w:rsid w:val="00414D1E"/>
    <w:rsid w:val="00416E42"/>
    <w:rsid w:val="00427653"/>
    <w:rsid w:val="004328CB"/>
    <w:rsid w:val="00434641"/>
    <w:rsid w:val="00435531"/>
    <w:rsid w:val="004410B9"/>
    <w:rsid w:val="00451A0A"/>
    <w:rsid w:val="00455FC3"/>
    <w:rsid w:val="00461869"/>
    <w:rsid w:val="004631F9"/>
    <w:rsid w:val="00463F18"/>
    <w:rsid w:val="004657CF"/>
    <w:rsid w:val="004718B9"/>
    <w:rsid w:val="00471BC9"/>
    <w:rsid w:val="00472C46"/>
    <w:rsid w:val="0048318F"/>
    <w:rsid w:val="00486A35"/>
    <w:rsid w:val="00486AF3"/>
    <w:rsid w:val="00490A92"/>
    <w:rsid w:val="00492245"/>
    <w:rsid w:val="004A14CE"/>
    <w:rsid w:val="004B55AF"/>
    <w:rsid w:val="004C3FA7"/>
    <w:rsid w:val="004C5EE6"/>
    <w:rsid w:val="004D09F3"/>
    <w:rsid w:val="004D0A2C"/>
    <w:rsid w:val="004D283B"/>
    <w:rsid w:val="004D631D"/>
    <w:rsid w:val="004E0AB6"/>
    <w:rsid w:val="004E2AD8"/>
    <w:rsid w:val="004E3F92"/>
    <w:rsid w:val="004E76E9"/>
    <w:rsid w:val="004F3305"/>
    <w:rsid w:val="004F5AD3"/>
    <w:rsid w:val="00500A74"/>
    <w:rsid w:val="00500F3F"/>
    <w:rsid w:val="005053B4"/>
    <w:rsid w:val="005061AB"/>
    <w:rsid w:val="00510729"/>
    <w:rsid w:val="00510799"/>
    <w:rsid w:val="0051615D"/>
    <w:rsid w:val="00524826"/>
    <w:rsid w:val="00527666"/>
    <w:rsid w:val="00533870"/>
    <w:rsid w:val="0053580E"/>
    <w:rsid w:val="00540800"/>
    <w:rsid w:val="005463F4"/>
    <w:rsid w:val="00546828"/>
    <w:rsid w:val="00553C7F"/>
    <w:rsid w:val="0055447F"/>
    <w:rsid w:val="00562656"/>
    <w:rsid w:val="00563429"/>
    <w:rsid w:val="0056639F"/>
    <w:rsid w:val="0056754F"/>
    <w:rsid w:val="0057144A"/>
    <w:rsid w:val="00575267"/>
    <w:rsid w:val="00575A96"/>
    <w:rsid w:val="0058157C"/>
    <w:rsid w:val="00581F80"/>
    <w:rsid w:val="005827E3"/>
    <w:rsid w:val="005829A3"/>
    <w:rsid w:val="005829F3"/>
    <w:rsid w:val="00584519"/>
    <w:rsid w:val="00584A15"/>
    <w:rsid w:val="00587613"/>
    <w:rsid w:val="00590D01"/>
    <w:rsid w:val="00594BAA"/>
    <w:rsid w:val="00595A1E"/>
    <w:rsid w:val="00596738"/>
    <w:rsid w:val="00597EDE"/>
    <w:rsid w:val="00597F13"/>
    <w:rsid w:val="005A0C07"/>
    <w:rsid w:val="005A28CB"/>
    <w:rsid w:val="005A5E07"/>
    <w:rsid w:val="005B1BF6"/>
    <w:rsid w:val="005B2FB8"/>
    <w:rsid w:val="005C14BE"/>
    <w:rsid w:val="005C2925"/>
    <w:rsid w:val="005C294C"/>
    <w:rsid w:val="005C2D31"/>
    <w:rsid w:val="005D1D20"/>
    <w:rsid w:val="005D490C"/>
    <w:rsid w:val="005E59E4"/>
    <w:rsid w:val="005F3361"/>
    <w:rsid w:val="005F4A94"/>
    <w:rsid w:val="005F628E"/>
    <w:rsid w:val="005F703D"/>
    <w:rsid w:val="00606732"/>
    <w:rsid w:val="00607D21"/>
    <w:rsid w:val="006114C4"/>
    <w:rsid w:val="0062064B"/>
    <w:rsid w:val="00625D3E"/>
    <w:rsid w:val="006275BD"/>
    <w:rsid w:val="00630D24"/>
    <w:rsid w:val="0063150F"/>
    <w:rsid w:val="00634700"/>
    <w:rsid w:val="006404F5"/>
    <w:rsid w:val="00641969"/>
    <w:rsid w:val="006461C8"/>
    <w:rsid w:val="006462F4"/>
    <w:rsid w:val="00646BAC"/>
    <w:rsid w:val="00650AD0"/>
    <w:rsid w:val="00652A53"/>
    <w:rsid w:val="0065741C"/>
    <w:rsid w:val="0066014F"/>
    <w:rsid w:val="006624E9"/>
    <w:rsid w:val="0066379C"/>
    <w:rsid w:val="006644EC"/>
    <w:rsid w:val="00682BE3"/>
    <w:rsid w:val="006855BD"/>
    <w:rsid w:val="00686E97"/>
    <w:rsid w:val="00694979"/>
    <w:rsid w:val="00696196"/>
    <w:rsid w:val="00697475"/>
    <w:rsid w:val="00697658"/>
    <w:rsid w:val="006A7A00"/>
    <w:rsid w:val="006A7A4C"/>
    <w:rsid w:val="006C279C"/>
    <w:rsid w:val="006D021E"/>
    <w:rsid w:val="006E54B7"/>
    <w:rsid w:val="006E7455"/>
    <w:rsid w:val="006F0603"/>
    <w:rsid w:val="006F3FEA"/>
    <w:rsid w:val="006F7FA7"/>
    <w:rsid w:val="00705975"/>
    <w:rsid w:val="00715397"/>
    <w:rsid w:val="0071573B"/>
    <w:rsid w:val="007213AC"/>
    <w:rsid w:val="00722838"/>
    <w:rsid w:val="00722F2A"/>
    <w:rsid w:val="00727CD3"/>
    <w:rsid w:val="0073450B"/>
    <w:rsid w:val="007349C0"/>
    <w:rsid w:val="00735523"/>
    <w:rsid w:val="0073567C"/>
    <w:rsid w:val="007372D1"/>
    <w:rsid w:val="007432A8"/>
    <w:rsid w:val="0074521B"/>
    <w:rsid w:val="007468B2"/>
    <w:rsid w:val="00750635"/>
    <w:rsid w:val="00760694"/>
    <w:rsid w:val="0076542F"/>
    <w:rsid w:val="00766E81"/>
    <w:rsid w:val="00777E13"/>
    <w:rsid w:val="00783842"/>
    <w:rsid w:val="007854E2"/>
    <w:rsid w:val="0079145F"/>
    <w:rsid w:val="00792033"/>
    <w:rsid w:val="00792117"/>
    <w:rsid w:val="00796BDF"/>
    <w:rsid w:val="007A451F"/>
    <w:rsid w:val="007B01FE"/>
    <w:rsid w:val="007B369B"/>
    <w:rsid w:val="007C0FAF"/>
    <w:rsid w:val="007D08CC"/>
    <w:rsid w:val="007D1774"/>
    <w:rsid w:val="007D7C10"/>
    <w:rsid w:val="007E1C2B"/>
    <w:rsid w:val="007E2426"/>
    <w:rsid w:val="007E2CEB"/>
    <w:rsid w:val="007E2E40"/>
    <w:rsid w:val="007E42A9"/>
    <w:rsid w:val="007E4DB5"/>
    <w:rsid w:val="007E6AF7"/>
    <w:rsid w:val="007E75F7"/>
    <w:rsid w:val="007F03CD"/>
    <w:rsid w:val="007F4058"/>
    <w:rsid w:val="007F5AD8"/>
    <w:rsid w:val="007F7AE3"/>
    <w:rsid w:val="00800529"/>
    <w:rsid w:val="00800B38"/>
    <w:rsid w:val="00820775"/>
    <w:rsid w:val="00825676"/>
    <w:rsid w:val="008328C3"/>
    <w:rsid w:val="00835629"/>
    <w:rsid w:val="00836749"/>
    <w:rsid w:val="00837201"/>
    <w:rsid w:val="008400C1"/>
    <w:rsid w:val="00840E0A"/>
    <w:rsid w:val="0084201A"/>
    <w:rsid w:val="00842F68"/>
    <w:rsid w:val="00846A07"/>
    <w:rsid w:val="0085086C"/>
    <w:rsid w:val="0085578E"/>
    <w:rsid w:val="0085688D"/>
    <w:rsid w:val="0086639F"/>
    <w:rsid w:val="008670A0"/>
    <w:rsid w:val="0087373E"/>
    <w:rsid w:val="008739F4"/>
    <w:rsid w:val="008755FA"/>
    <w:rsid w:val="00876302"/>
    <w:rsid w:val="0087646A"/>
    <w:rsid w:val="00876FAD"/>
    <w:rsid w:val="00880B4D"/>
    <w:rsid w:val="00881B59"/>
    <w:rsid w:val="008A088F"/>
    <w:rsid w:val="008A31E3"/>
    <w:rsid w:val="008A3554"/>
    <w:rsid w:val="008A3585"/>
    <w:rsid w:val="008A47A3"/>
    <w:rsid w:val="008A667D"/>
    <w:rsid w:val="008B3AE1"/>
    <w:rsid w:val="008C2A31"/>
    <w:rsid w:val="008D32BE"/>
    <w:rsid w:val="008D5C59"/>
    <w:rsid w:val="008E0AE6"/>
    <w:rsid w:val="008E0C2F"/>
    <w:rsid w:val="008E4458"/>
    <w:rsid w:val="008E5CC8"/>
    <w:rsid w:val="008F1A54"/>
    <w:rsid w:val="008F32E7"/>
    <w:rsid w:val="008F48BE"/>
    <w:rsid w:val="008F4DEA"/>
    <w:rsid w:val="008F5B45"/>
    <w:rsid w:val="00902C0D"/>
    <w:rsid w:val="0090517F"/>
    <w:rsid w:val="00905247"/>
    <w:rsid w:val="00906F64"/>
    <w:rsid w:val="009106F6"/>
    <w:rsid w:val="0091499B"/>
    <w:rsid w:val="00922D99"/>
    <w:rsid w:val="009242F8"/>
    <w:rsid w:val="009307B8"/>
    <w:rsid w:val="009310D6"/>
    <w:rsid w:val="00931140"/>
    <w:rsid w:val="00931689"/>
    <w:rsid w:val="00934771"/>
    <w:rsid w:val="0093630C"/>
    <w:rsid w:val="0093773C"/>
    <w:rsid w:val="00941E8F"/>
    <w:rsid w:val="00950E82"/>
    <w:rsid w:val="009515C5"/>
    <w:rsid w:val="009532C1"/>
    <w:rsid w:val="0095481F"/>
    <w:rsid w:val="009642DA"/>
    <w:rsid w:val="009648C0"/>
    <w:rsid w:val="00974541"/>
    <w:rsid w:val="0097548F"/>
    <w:rsid w:val="0097797C"/>
    <w:rsid w:val="00983502"/>
    <w:rsid w:val="009912EF"/>
    <w:rsid w:val="009979FA"/>
    <w:rsid w:val="009A5666"/>
    <w:rsid w:val="009A6B6A"/>
    <w:rsid w:val="009B05D5"/>
    <w:rsid w:val="009B6D04"/>
    <w:rsid w:val="009C1795"/>
    <w:rsid w:val="009C2D31"/>
    <w:rsid w:val="009C42CC"/>
    <w:rsid w:val="009C5A1F"/>
    <w:rsid w:val="009D4DE4"/>
    <w:rsid w:val="009E04D8"/>
    <w:rsid w:val="009E2B60"/>
    <w:rsid w:val="009E3D3C"/>
    <w:rsid w:val="009F5CEE"/>
    <w:rsid w:val="009F6302"/>
    <w:rsid w:val="00A02646"/>
    <w:rsid w:val="00A0282A"/>
    <w:rsid w:val="00A02F79"/>
    <w:rsid w:val="00A15917"/>
    <w:rsid w:val="00A15E9D"/>
    <w:rsid w:val="00A16BA5"/>
    <w:rsid w:val="00A2012E"/>
    <w:rsid w:val="00A2127C"/>
    <w:rsid w:val="00A2489A"/>
    <w:rsid w:val="00A25AA1"/>
    <w:rsid w:val="00A30A7C"/>
    <w:rsid w:val="00A3173D"/>
    <w:rsid w:val="00A3519E"/>
    <w:rsid w:val="00A407D9"/>
    <w:rsid w:val="00A43FDF"/>
    <w:rsid w:val="00A443A1"/>
    <w:rsid w:val="00A46EA6"/>
    <w:rsid w:val="00A548BC"/>
    <w:rsid w:val="00A567AC"/>
    <w:rsid w:val="00A57978"/>
    <w:rsid w:val="00A6391B"/>
    <w:rsid w:val="00A700CB"/>
    <w:rsid w:val="00A808C8"/>
    <w:rsid w:val="00A87ED0"/>
    <w:rsid w:val="00A95A32"/>
    <w:rsid w:val="00A977F8"/>
    <w:rsid w:val="00AA3064"/>
    <w:rsid w:val="00AA405F"/>
    <w:rsid w:val="00AA553B"/>
    <w:rsid w:val="00AB1893"/>
    <w:rsid w:val="00AB5404"/>
    <w:rsid w:val="00AB6A7B"/>
    <w:rsid w:val="00AB7909"/>
    <w:rsid w:val="00AB7AC7"/>
    <w:rsid w:val="00AC52DE"/>
    <w:rsid w:val="00AC743D"/>
    <w:rsid w:val="00AD1E19"/>
    <w:rsid w:val="00AD332B"/>
    <w:rsid w:val="00AD3452"/>
    <w:rsid w:val="00AD7512"/>
    <w:rsid w:val="00AD7FCB"/>
    <w:rsid w:val="00AE26B9"/>
    <w:rsid w:val="00AE6108"/>
    <w:rsid w:val="00AE71FF"/>
    <w:rsid w:val="00AF057D"/>
    <w:rsid w:val="00AF216B"/>
    <w:rsid w:val="00B039F6"/>
    <w:rsid w:val="00B046D5"/>
    <w:rsid w:val="00B11751"/>
    <w:rsid w:val="00B11975"/>
    <w:rsid w:val="00B253FE"/>
    <w:rsid w:val="00B2613D"/>
    <w:rsid w:val="00B30FE1"/>
    <w:rsid w:val="00B34171"/>
    <w:rsid w:val="00B373AD"/>
    <w:rsid w:val="00B406D2"/>
    <w:rsid w:val="00B457CA"/>
    <w:rsid w:val="00B52135"/>
    <w:rsid w:val="00B6552E"/>
    <w:rsid w:val="00B70B8B"/>
    <w:rsid w:val="00B731D2"/>
    <w:rsid w:val="00B7379E"/>
    <w:rsid w:val="00B73F2E"/>
    <w:rsid w:val="00B74223"/>
    <w:rsid w:val="00B772DF"/>
    <w:rsid w:val="00B82F3D"/>
    <w:rsid w:val="00B86584"/>
    <w:rsid w:val="00B87687"/>
    <w:rsid w:val="00B912EB"/>
    <w:rsid w:val="00B9320F"/>
    <w:rsid w:val="00B937A9"/>
    <w:rsid w:val="00BA30AE"/>
    <w:rsid w:val="00BA4FB3"/>
    <w:rsid w:val="00BA5793"/>
    <w:rsid w:val="00BB606D"/>
    <w:rsid w:val="00BB72D9"/>
    <w:rsid w:val="00BC1B5F"/>
    <w:rsid w:val="00BD3981"/>
    <w:rsid w:val="00BE20D2"/>
    <w:rsid w:val="00BE257B"/>
    <w:rsid w:val="00BF2D7D"/>
    <w:rsid w:val="00BF43E5"/>
    <w:rsid w:val="00BF49E4"/>
    <w:rsid w:val="00BF5744"/>
    <w:rsid w:val="00C000C0"/>
    <w:rsid w:val="00C02FD2"/>
    <w:rsid w:val="00C053CB"/>
    <w:rsid w:val="00C06749"/>
    <w:rsid w:val="00C20D3B"/>
    <w:rsid w:val="00C21037"/>
    <w:rsid w:val="00C214BF"/>
    <w:rsid w:val="00C214D0"/>
    <w:rsid w:val="00C252A3"/>
    <w:rsid w:val="00C25336"/>
    <w:rsid w:val="00C3529E"/>
    <w:rsid w:val="00C35C61"/>
    <w:rsid w:val="00C42C04"/>
    <w:rsid w:val="00C43D62"/>
    <w:rsid w:val="00C47B66"/>
    <w:rsid w:val="00C50C49"/>
    <w:rsid w:val="00C51C01"/>
    <w:rsid w:val="00C52682"/>
    <w:rsid w:val="00C53434"/>
    <w:rsid w:val="00C5413B"/>
    <w:rsid w:val="00C54817"/>
    <w:rsid w:val="00C54940"/>
    <w:rsid w:val="00C5688E"/>
    <w:rsid w:val="00C57041"/>
    <w:rsid w:val="00C57160"/>
    <w:rsid w:val="00C572E2"/>
    <w:rsid w:val="00C678B3"/>
    <w:rsid w:val="00C6791B"/>
    <w:rsid w:val="00C73A08"/>
    <w:rsid w:val="00C751F2"/>
    <w:rsid w:val="00C77AFB"/>
    <w:rsid w:val="00C823D2"/>
    <w:rsid w:val="00C826B8"/>
    <w:rsid w:val="00C82762"/>
    <w:rsid w:val="00C835F3"/>
    <w:rsid w:val="00C8389A"/>
    <w:rsid w:val="00C87C5C"/>
    <w:rsid w:val="00C96747"/>
    <w:rsid w:val="00CA4657"/>
    <w:rsid w:val="00CA6848"/>
    <w:rsid w:val="00CB1AF0"/>
    <w:rsid w:val="00CB315E"/>
    <w:rsid w:val="00CB773A"/>
    <w:rsid w:val="00CC34A6"/>
    <w:rsid w:val="00CD3179"/>
    <w:rsid w:val="00CD3600"/>
    <w:rsid w:val="00CD64A9"/>
    <w:rsid w:val="00CD71E2"/>
    <w:rsid w:val="00CE1287"/>
    <w:rsid w:val="00CE2E1B"/>
    <w:rsid w:val="00CF1D6D"/>
    <w:rsid w:val="00CF27C7"/>
    <w:rsid w:val="00CF4A4F"/>
    <w:rsid w:val="00CF4DB5"/>
    <w:rsid w:val="00D00125"/>
    <w:rsid w:val="00D07540"/>
    <w:rsid w:val="00D1172B"/>
    <w:rsid w:val="00D20184"/>
    <w:rsid w:val="00D2294B"/>
    <w:rsid w:val="00D2473A"/>
    <w:rsid w:val="00D24E0B"/>
    <w:rsid w:val="00D549E3"/>
    <w:rsid w:val="00D57CD4"/>
    <w:rsid w:val="00D613DD"/>
    <w:rsid w:val="00D830DB"/>
    <w:rsid w:val="00D852C1"/>
    <w:rsid w:val="00D87CFB"/>
    <w:rsid w:val="00D90211"/>
    <w:rsid w:val="00D96129"/>
    <w:rsid w:val="00DA5561"/>
    <w:rsid w:val="00DA7028"/>
    <w:rsid w:val="00DA78AD"/>
    <w:rsid w:val="00DB1287"/>
    <w:rsid w:val="00DB2336"/>
    <w:rsid w:val="00DB2B0A"/>
    <w:rsid w:val="00DB517E"/>
    <w:rsid w:val="00DB6561"/>
    <w:rsid w:val="00DC3370"/>
    <w:rsid w:val="00DD0085"/>
    <w:rsid w:val="00DD0D57"/>
    <w:rsid w:val="00DE4FCE"/>
    <w:rsid w:val="00DE59A9"/>
    <w:rsid w:val="00DE6A3C"/>
    <w:rsid w:val="00DE6B1B"/>
    <w:rsid w:val="00DF11DC"/>
    <w:rsid w:val="00DF7B84"/>
    <w:rsid w:val="00E07815"/>
    <w:rsid w:val="00E1506F"/>
    <w:rsid w:val="00E15077"/>
    <w:rsid w:val="00E15F71"/>
    <w:rsid w:val="00E24159"/>
    <w:rsid w:val="00E30450"/>
    <w:rsid w:val="00E440AB"/>
    <w:rsid w:val="00E46A7E"/>
    <w:rsid w:val="00E47514"/>
    <w:rsid w:val="00E47783"/>
    <w:rsid w:val="00E51382"/>
    <w:rsid w:val="00E53C61"/>
    <w:rsid w:val="00E54B4A"/>
    <w:rsid w:val="00E627B8"/>
    <w:rsid w:val="00E7152C"/>
    <w:rsid w:val="00E7293F"/>
    <w:rsid w:val="00E72EEB"/>
    <w:rsid w:val="00E76C7E"/>
    <w:rsid w:val="00E822A3"/>
    <w:rsid w:val="00E85D30"/>
    <w:rsid w:val="00E87D61"/>
    <w:rsid w:val="00E90309"/>
    <w:rsid w:val="00E93D81"/>
    <w:rsid w:val="00E94F81"/>
    <w:rsid w:val="00E95B9D"/>
    <w:rsid w:val="00EA06A8"/>
    <w:rsid w:val="00EA1C59"/>
    <w:rsid w:val="00EA2D2E"/>
    <w:rsid w:val="00EA3847"/>
    <w:rsid w:val="00EA61DB"/>
    <w:rsid w:val="00EC68ED"/>
    <w:rsid w:val="00ED0B18"/>
    <w:rsid w:val="00ED5FC9"/>
    <w:rsid w:val="00EE2BF3"/>
    <w:rsid w:val="00EF1900"/>
    <w:rsid w:val="00EF71B3"/>
    <w:rsid w:val="00EF7929"/>
    <w:rsid w:val="00F04AC8"/>
    <w:rsid w:val="00F13624"/>
    <w:rsid w:val="00F1369C"/>
    <w:rsid w:val="00F13B51"/>
    <w:rsid w:val="00F151C4"/>
    <w:rsid w:val="00F15539"/>
    <w:rsid w:val="00F20760"/>
    <w:rsid w:val="00F21802"/>
    <w:rsid w:val="00F316A4"/>
    <w:rsid w:val="00F335BA"/>
    <w:rsid w:val="00F345FA"/>
    <w:rsid w:val="00F346D0"/>
    <w:rsid w:val="00F36B91"/>
    <w:rsid w:val="00F404C4"/>
    <w:rsid w:val="00F4139B"/>
    <w:rsid w:val="00F4154B"/>
    <w:rsid w:val="00F453D7"/>
    <w:rsid w:val="00F50691"/>
    <w:rsid w:val="00F52C97"/>
    <w:rsid w:val="00F5499D"/>
    <w:rsid w:val="00F55D4F"/>
    <w:rsid w:val="00F56504"/>
    <w:rsid w:val="00F5726C"/>
    <w:rsid w:val="00F6018D"/>
    <w:rsid w:val="00F62B6E"/>
    <w:rsid w:val="00F630EC"/>
    <w:rsid w:val="00F65463"/>
    <w:rsid w:val="00F710C4"/>
    <w:rsid w:val="00F80C0B"/>
    <w:rsid w:val="00F81E29"/>
    <w:rsid w:val="00F81FA2"/>
    <w:rsid w:val="00F83B76"/>
    <w:rsid w:val="00F83C3D"/>
    <w:rsid w:val="00F85621"/>
    <w:rsid w:val="00F879F8"/>
    <w:rsid w:val="00F912BD"/>
    <w:rsid w:val="00F93081"/>
    <w:rsid w:val="00F966E6"/>
    <w:rsid w:val="00FA237D"/>
    <w:rsid w:val="00FB1DA0"/>
    <w:rsid w:val="00FB1F89"/>
    <w:rsid w:val="00FC04CF"/>
    <w:rsid w:val="00FD00B1"/>
    <w:rsid w:val="00FD6571"/>
    <w:rsid w:val="00FE0D63"/>
    <w:rsid w:val="00FF1184"/>
    <w:rsid w:val="00FF13DB"/>
    <w:rsid w:val="00FF22F9"/>
    <w:rsid w:val="02005581"/>
    <w:rsid w:val="027D6DC6"/>
    <w:rsid w:val="080136AD"/>
    <w:rsid w:val="080C6A42"/>
    <w:rsid w:val="0E5E0C55"/>
    <w:rsid w:val="10E33C20"/>
    <w:rsid w:val="11185C42"/>
    <w:rsid w:val="11B87876"/>
    <w:rsid w:val="13292450"/>
    <w:rsid w:val="16B8252D"/>
    <w:rsid w:val="1BC56DB2"/>
    <w:rsid w:val="1E7D0B9C"/>
    <w:rsid w:val="1EC5420E"/>
    <w:rsid w:val="1F1F4BAD"/>
    <w:rsid w:val="1F2B653D"/>
    <w:rsid w:val="22154E06"/>
    <w:rsid w:val="225F7E85"/>
    <w:rsid w:val="24B85036"/>
    <w:rsid w:val="27B81A94"/>
    <w:rsid w:val="281668D9"/>
    <w:rsid w:val="28361D50"/>
    <w:rsid w:val="28650912"/>
    <w:rsid w:val="30331D78"/>
    <w:rsid w:val="30A53766"/>
    <w:rsid w:val="33963253"/>
    <w:rsid w:val="38FB1406"/>
    <w:rsid w:val="39062DD5"/>
    <w:rsid w:val="3E495F2E"/>
    <w:rsid w:val="3E751197"/>
    <w:rsid w:val="41FB3955"/>
    <w:rsid w:val="43B24F06"/>
    <w:rsid w:val="44062115"/>
    <w:rsid w:val="44986AB7"/>
    <w:rsid w:val="46B34208"/>
    <w:rsid w:val="46CE6F53"/>
    <w:rsid w:val="481D5EBA"/>
    <w:rsid w:val="4C3D1131"/>
    <w:rsid w:val="4CE10836"/>
    <w:rsid w:val="4EFC2024"/>
    <w:rsid w:val="4F032BAA"/>
    <w:rsid w:val="4F45626B"/>
    <w:rsid w:val="511670D9"/>
    <w:rsid w:val="52241259"/>
    <w:rsid w:val="5291225B"/>
    <w:rsid w:val="52AB4D14"/>
    <w:rsid w:val="53580DCD"/>
    <w:rsid w:val="539F559D"/>
    <w:rsid w:val="552F46E2"/>
    <w:rsid w:val="558966A7"/>
    <w:rsid w:val="586C4E50"/>
    <w:rsid w:val="5A80045C"/>
    <w:rsid w:val="5CD62190"/>
    <w:rsid w:val="5DA53755"/>
    <w:rsid w:val="60505853"/>
    <w:rsid w:val="60EE060B"/>
    <w:rsid w:val="62AE2D9A"/>
    <w:rsid w:val="635B0D43"/>
    <w:rsid w:val="644C1563"/>
    <w:rsid w:val="65857A2A"/>
    <w:rsid w:val="66715E5C"/>
    <w:rsid w:val="6A8A2BA7"/>
    <w:rsid w:val="6AFB5B8B"/>
    <w:rsid w:val="6C3D39B9"/>
    <w:rsid w:val="6C443D91"/>
    <w:rsid w:val="6E3E7031"/>
    <w:rsid w:val="6FB60A96"/>
    <w:rsid w:val="71AC573C"/>
    <w:rsid w:val="71D53C8B"/>
    <w:rsid w:val="75501173"/>
    <w:rsid w:val="75CD2879"/>
    <w:rsid w:val="78C0679B"/>
    <w:rsid w:val="7D872D4C"/>
    <w:rsid w:val="7E8C2BE4"/>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1" w:semiHidden="0" w:name="Body Text"/>
    <w:lsdException w:qFormat="1" w:unhideWhenUsed="0" w:uiPriority="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semiHidden="0"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2"/>
      <w:lang w:val="en-US" w:eastAsia="zh-CN" w:bidi="ar-SA"/>
    </w:rPr>
  </w:style>
  <w:style w:type="paragraph" w:styleId="4">
    <w:name w:val="heading 1"/>
    <w:basedOn w:val="1"/>
    <w:next w:val="1"/>
    <w:link w:val="31"/>
    <w:qFormat/>
    <w:uiPriority w:val="9"/>
    <w:pPr>
      <w:keepNext/>
      <w:keepLines/>
      <w:spacing w:before="340" w:after="330" w:line="578" w:lineRule="auto"/>
      <w:outlineLvl w:val="0"/>
    </w:pPr>
    <w:rPr>
      <w:b/>
      <w:bCs/>
      <w:kern w:val="44"/>
      <w:sz w:val="44"/>
      <w:szCs w:val="44"/>
    </w:rPr>
  </w:style>
  <w:style w:type="paragraph" w:styleId="5">
    <w:name w:val="heading 2"/>
    <w:basedOn w:val="1"/>
    <w:next w:val="1"/>
    <w:link w:val="32"/>
    <w:qFormat/>
    <w:uiPriority w:val="9"/>
    <w:pPr>
      <w:keepNext/>
      <w:keepLines/>
      <w:spacing w:before="260" w:after="260" w:line="416" w:lineRule="auto"/>
      <w:outlineLvl w:val="1"/>
    </w:pPr>
    <w:rPr>
      <w:rFonts w:ascii="Calibri Light" w:hAnsi="Calibri Light" w:eastAsia="宋体" w:cs="Times New Roman"/>
      <w:b/>
      <w:bCs/>
      <w:sz w:val="32"/>
      <w:szCs w:val="32"/>
    </w:rPr>
  </w:style>
  <w:style w:type="paragraph" w:styleId="6">
    <w:name w:val="heading 4"/>
    <w:basedOn w:val="1"/>
    <w:next w:val="1"/>
    <w:link w:val="33"/>
    <w:qFormat/>
    <w:uiPriority w:val="9"/>
    <w:pPr>
      <w:keepNext/>
      <w:keepLines/>
      <w:spacing w:before="280" w:after="290" w:line="376" w:lineRule="auto"/>
      <w:outlineLvl w:val="3"/>
    </w:pPr>
    <w:rPr>
      <w:rFonts w:ascii="Calibri Light" w:hAnsi="Calibri Light" w:eastAsia="宋体" w:cs="Times New Roman"/>
      <w:b/>
      <w:bCs/>
      <w:sz w:val="28"/>
      <w:szCs w:val="28"/>
    </w:rPr>
  </w:style>
  <w:style w:type="character" w:default="1" w:styleId="25">
    <w:name w:val="Default Paragraph Font"/>
    <w:unhideWhenUsed/>
    <w:qFormat/>
    <w:uiPriority w:val="1"/>
  </w:style>
  <w:style w:type="table" w:default="1" w:styleId="23">
    <w:name w:val="Normal Table"/>
    <w:unhideWhenUsed/>
    <w:qFormat/>
    <w:uiPriority w:val="99"/>
    <w:tblPr>
      <w:tblCellMar>
        <w:top w:w="0" w:type="dxa"/>
        <w:left w:w="108" w:type="dxa"/>
        <w:bottom w:w="0" w:type="dxa"/>
        <w:right w:w="108" w:type="dxa"/>
      </w:tblCellMar>
    </w:tblPr>
  </w:style>
  <w:style w:type="paragraph" w:styleId="2">
    <w:name w:val="Body Text First Indent 2"/>
    <w:basedOn w:val="3"/>
    <w:semiHidden/>
    <w:qFormat/>
    <w:uiPriority w:val="0"/>
    <w:pPr>
      <w:spacing w:after="120" w:line="240" w:lineRule="auto"/>
      <w:ind w:left="420" w:leftChars="200" w:firstLine="420"/>
    </w:pPr>
    <w:rPr>
      <w:sz w:val="24"/>
    </w:rPr>
  </w:style>
  <w:style w:type="paragraph" w:styleId="3">
    <w:name w:val="Body Text Indent"/>
    <w:basedOn w:val="1"/>
    <w:semiHidden/>
    <w:qFormat/>
    <w:uiPriority w:val="0"/>
    <w:pPr>
      <w:spacing w:line="460" w:lineRule="exact"/>
      <w:ind w:firstLine="560" w:firstLineChars="200"/>
    </w:pPr>
    <w:rPr>
      <w:rFonts w:eastAsia="宋体"/>
      <w:sz w:val="28"/>
      <w:szCs w:val="24"/>
    </w:rPr>
  </w:style>
  <w:style w:type="paragraph" w:styleId="7">
    <w:name w:val="toc 7"/>
    <w:basedOn w:val="1"/>
    <w:next w:val="1"/>
    <w:unhideWhenUsed/>
    <w:qFormat/>
    <w:uiPriority w:val="39"/>
    <w:pPr>
      <w:ind w:left="2520" w:leftChars="1200"/>
    </w:pPr>
  </w:style>
  <w:style w:type="paragraph" w:styleId="8">
    <w:name w:val="Document Map"/>
    <w:basedOn w:val="1"/>
    <w:link w:val="34"/>
    <w:unhideWhenUsed/>
    <w:qFormat/>
    <w:uiPriority w:val="99"/>
    <w:rPr>
      <w:rFonts w:ascii="宋体" w:eastAsia="宋体"/>
      <w:sz w:val="18"/>
      <w:szCs w:val="18"/>
    </w:rPr>
  </w:style>
  <w:style w:type="paragraph" w:styleId="9">
    <w:name w:val="annotation text"/>
    <w:basedOn w:val="1"/>
    <w:link w:val="35"/>
    <w:unhideWhenUsed/>
    <w:qFormat/>
    <w:uiPriority w:val="99"/>
    <w:pPr>
      <w:jc w:val="left"/>
    </w:pPr>
  </w:style>
  <w:style w:type="paragraph" w:styleId="10">
    <w:name w:val="Body Text"/>
    <w:basedOn w:val="1"/>
    <w:link w:val="36"/>
    <w:qFormat/>
    <w:uiPriority w:val="1"/>
    <w:pPr>
      <w:autoSpaceDE w:val="0"/>
      <w:autoSpaceDN w:val="0"/>
      <w:ind w:left="740"/>
      <w:jc w:val="left"/>
    </w:pPr>
    <w:rPr>
      <w:rFonts w:ascii="宋体" w:hAnsi="宋体" w:eastAsia="宋体" w:cs="宋体"/>
      <w:kern w:val="0"/>
      <w:sz w:val="24"/>
      <w:szCs w:val="24"/>
      <w:lang w:val="zh-CN" w:bidi="zh-CN"/>
    </w:rPr>
  </w:style>
  <w:style w:type="paragraph" w:styleId="11">
    <w:name w:val="toc 5"/>
    <w:basedOn w:val="1"/>
    <w:next w:val="1"/>
    <w:unhideWhenUsed/>
    <w:qFormat/>
    <w:uiPriority w:val="39"/>
    <w:pPr>
      <w:ind w:left="1680" w:leftChars="800"/>
    </w:pPr>
  </w:style>
  <w:style w:type="paragraph" w:styleId="12">
    <w:name w:val="toc 3"/>
    <w:basedOn w:val="1"/>
    <w:next w:val="1"/>
    <w:unhideWhenUsed/>
    <w:qFormat/>
    <w:uiPriority w:val="39"/>
    <w:pPr>
      <w:ind w:left="840" w:leftChars="400"/>
    </w:pPr>
  </w:style>
  <w:style w:type="paragraph" w:styleId="13">
    <w:name w:val="toc 8"/>
    <w:basedOn w:val="1"/>
    <w:next w:val="1"/>
    <w:unhideWhenUsed/>
    <w:qFormat/>
    <w:uiPriority w:val="39"/>
    <w:pPr>
      <w:ind w:left="2940" w:leftChars="1400"/>
    </w:pPr>
  </w:style>
  <w:style w:type="paragraph" w:styleId="14">
    <w:name w:val="Balloon Text"/>
    <w:basedOn w:val="1"/>
    <w:link w:val="37"/>
    <w:unhideWhenUsed/>
    <w:qFormat/>
    <w:uiPriority w:val="99"/>
    <w:rPr>
      <w:sz w:val="18"/>
      <w:szCs w:val="18"/>
    </w:rPr>
  </w:style>
  <w:style w:type="paragraph" w:styleId="15">
    <w:name w:val="footer"/>
    <w:basedOn w:val="1"/>
    <w:link w:val="38"/>
    <w:unhideWhenUsed/>
    <w:qFormat/>
    <w:uiPriority w:val="99"/>
    <w:pPr>
      <w:tabs>
        <w:tab w:val="center" w:pos="4153"/>
        <w:tab w:val="right" w:pos="8306"/>
      </w:tabs>
      <w:snapToGrid w:val="0"/>
      <w:jc w:val="left"/>
    </w:pPr>
    <w:rPr>
      <w:sz w:val="18"/>
      <w:szCs w:val="18"/>
    </w:rPr>
  </w:style>
  <w:style w:type="paragraph" w:styleId="16">
    <w:name w:val="header"/>
    <w:basedOn w:val="1"/>
    <w:link w:val="39"/>
    <w:unhideWhenUsed/>
    <w:qFormat/>
    <w:uiPriority w:val="99"/>
    <w:pPr>
      <w:pBdr>
        <w:bottom w:val="single" w:color="auto" w:sz="6" w:space="1"/>
      </w:pBdr>
      <w:tabs>
        <w:tab w:val="center" w:pos="4153"/>
        <w:tab w:val="right" w:pos="8306"/>
      </w:tabs>
      <w:snapToGrid w:val="0"/>
      <w:jc w:val="center"/>
    </w:pPr>
    <w:rPr>
      <w:sz w:val="18"/>
      <w:szCs w:val="18"/>
    </w:rPr>
  </w:style>
  <w:style w:type="paragraph" w:styleId="17">
    <w:name w:val="toc 1"/>
    <w:basedOn w:val="1"/>
    <w:next w:val="1"/>
    <w:unhideWhenUsed/>
    <w:qFormat/>
    <w:uiPriority w:val="39"/>
  </w:style>
  <w:style w:type="paragraph" w:styleId="18">
    <w:name w:val="toc 4"/>
    <w:basedOn w:val="1"/>
    <w:next w:val="1"/>
    <w:unhideWhenUsed/>
    <w:qFormat/>
    <w:uiPriority w:val="39"/>
    <w:pPr>
      <w:ind w:left="1260" w:leftChars="600"/>
    </w:pPr>
  </w:style>
  <w:style w:type="paragraph" w:styleId="19">
    <w:name w:val="toc 6"/>
    <w:basedOn w:val="1"/>
    <w:next w:val="1"/>
    <w:unhideWhenUsed/>
    <w:qFormat/>
    <w:uiPriority w:val="39"/>
    <w:pPr>
      <w:ind w:left="2100" w:leftChars="1000"/>
    </w:pPr>
  </w:style>
  <w:style w:type="paragraph" w:styleId="20">
    <w:name w:val="toc 2"/>
    <w:basedOn w:val="1"/>
    <w:next w:val="1"/>
    <w:unhideWhenUsed/>
    <w:qFormat/>
    <w:uiPriority w:val="39"/>
    <w:pPr>
      <w:ind w:left="420" w:leftChars="200"/>
    </w:pPr>
  </w:style>
  <w:style w:type="paragraph" w:styleId="21">
    <w:name w:val="toc 9"/>
    <w:basedOn w:val="1"/>
    <w:next w:val="1"/>
    <w:unhideWhenUsed/>
    <w:qFormat/>
    <w:uiPriority w:val="39"/>
    <w:pPr>
      <w:ind w:left="3360" w:leftChars="1600"/>
    </w:pPr>
  </w:style>
  <w:style w:type="paragraph" w:styleId="22">
    <w:name w:val="annotation subject"/>
    <w:basedOn w:val="9"/>
    <w:next w:val="9"/>
    <w:link w:val="40"/>
    <w:unhideWhenUsed/>
    <w:qFormat/>
    <w:uiPriority w:val="99"/>
    <w:rPr>
      <w:b/>
      <w:bCs/>
    </w:rPr>
  </w:style>
  <w:style w:type="table" w:styleId="24">
    <w:name w:val="Table Grid"/>
    <w:basedOn w:val="23"/>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6">
    <w:name w:val="Hyperlink"/>
    <w:basedOn w:val="25"/>
    <w:unhideWhenUsed/>
    <w:qFormat/>
    <w:uiPriority w:val="99"/>
    <w:rPr>
      <w:color w:val="0563C1"/>
      <w:u w:val="single"/>
    </w:rPr>
  </w:style>
  <w:style w:type="character" w:styleId="27">
    <w:name w:val="annotation reference"/>
    <w:basedOn w:val="25"/>
    <w:unhideWhenUsed/>
    <w:qFormat/>
    <w:uiPriority w:val="99"/>
    <w:rPr>
      <w:sz w:val="21"/>
      <w:szCs w:val="21"/>
    </w:rPr>
  </w:style>
  <w:style w:type="paragraph" w:customStyle="1" w:styleId="28">
    <w:name w:val="YA-正文"/>
    <w:basedOn w:val="29"/>
    <w:qFormat/>
    <w:uiPriority w:val="0"/>
    <w:pPr>
      <w:spacing w:beforeLines="0" w:line="560" w:lineRule="exact"/>
      <w:ind w:firstLine="200" w:firstLineChars="200"/>
      <w:jc w:val="both"/>
    </w:pPr>
    <w:rPr>
      <w:b w:val="0"/>
      <w:sz w:val="24"/>
    </w:rPr>
  </w:style>
  <w:style w:type="paragraph" w:customStyle="1" w:styleId="29">
    <w:name w:val="YA-表格标题"/>
    <w:basedOn w:val="30"/>
    <w:qFormat/>
    <w:uiPriority w:val="0"/>
    <w:pPr>
      <w:spacing w:beforeLines="50" w:line="360" w:lineRule="auto"/>
      <w:ind w:firstLine="0" w:firstLineChars="0"/>
      <w:jc w:val="center"/>
    </w:pPr>
    <w:rPr>
      <w:b/>
      <w:sz w:val="21"/>
    </w:rPr>
  </w:style>
  <w:style w:type="paragraph" w:customStyle="1" w:styleId="30">
    <w:name w:val="表-正文"/>
    <w:basedOn w:val="1"/>
    <w:semiHidden/>
    <w:qFormat/>
    <w:uiPriority w:val="0"/>
    <w:pPr>
      <w:widowControl/>
      <w:spacing w:line="480" w:lineRule="exact"/>
      <w:ind w:firstLine="200" w:firstLineChars="200"/>
    </w:pPr>
    <w:rPr>
      <w:rFonts w:ascii="Times New Roman" w:hAnsi="Times New Roman" w:eastAsia="宋体" w:cs="Times New Roman"/>
      <w:sz w:val="24"/>
      <w:szCs w:val="21"/>
    </w:rPr>
  </w:style>
  <w:style w:type="character" w:customStyle="1" w:styleId="31">
    <w:name w:val="标题 1 Char"/>
    <w:basedOn w:val="25"/>
    <w:link w:val="4"/>
    <w:qFormat/>
    <w:uiPriority w:val="9"/>
    <w:rPr>
      <w:b/>
      <w:bCs/>
      <w:kern w:val="44"/>
      <w:sz w:val="44"/>
      <w:szCs w:val="44"/>
    </w:rPr>
  </w:style>
  <w:style w:type="character" w:customStyle="1" w:styleId="32">
    <w:name w:val="标题 2 Char"/>
    <w:basedOn w:val="25"/>
    <w:link w:val="5"/>
    <w:semiHidden/>
    <w:qFormat/>
    <w:uiPriority w:val="9"/>
    <w:rPr>
      <w:rFonts w:ascii="Calibri Light" w:hAnsi="Calibri Light" w:eastAsia="宋体" w:cs="Times New Roman"/>
      <w:b/>
      <w:bCs/>
      <w:kern w:val="2"/>
      <w:sz w:val="32"/>
      <w:szCs w:val="32"/>
    </w:rPr>
  </w:style>
  <w:style w:type="character" w:customStyle="1" w:styleId="33">
    <w:name w:val="标题 4 Char"/>
    <w:basedOn w:val="25"/>
    <w:link w:val="6"/>
    <w:semiHidden/>
    <w:qFormat/>
    <w:uiPriority w:val="9"/>
    <w:rPr>
      <w:rFonts w:ascii="Calibri Light" w:hAnsi="Calibri Light" w:eastAsia="宋体" w:cs="Times New Roman"/>
      <w:b/>
      <w:bCs/>
      <w:kern w:val="2"/>
      <w:sz w:val="28"/>
      <w:szCs w:val="28"/>
    </w:rPr>
  </w:style>
  <w:style w:type="character" w:customStyle="1" w:styleId="34">
    <w:name w:val="文档结构图 Char"/>
    <w:basedOn w:val="25"/>
    <w:link w:val="8"/>
    <w:semiHidden/>
    <w:qFormat/>
    <w:uiPriority w:val="99"/>
    <w:rPr>
      <w:rFonts w:ascii="宋体" w:eastAsia="宋体"/>
      <w:kern w:val="2"/>
      <w:sz w:val="18"/>
      <w:szCs w:val="18"/>
    </w:rPr>
  </w:style>
  <w:style w:type="character" w:customStyle="1" w:styleId="35">
    <w:name w:val="批注文字 Char"/>
    <w:basedOn w:val="25"/>
    <w:link w:val="9"/>
    <w:semiHidden/>
    <w:qFormat/>
    <w:uiPriority w:val="99"/>
    <w:rPr>
      <w:kern w:val="2"/>
      <w:sz w:val="21"/>
      <w:szCs w:val="22"/>
    </w:rPr>
  </w:style>
  <w:style w:type="character" w:customStyle="1" w:styleId="36">
    <w:name w:val="正文文本 Char"/>
    <w:basedOn w:val="25"/>
    <w:link w:val="10"/>
    <w:qFormat/>
    <w:uiPriority w:val="1"/>
    <w:rPr>
      <w:rFonts w:ascii="宋体" w:hAnsi="宋体" w:eastAsia="宋体" w:cs="宋体"/>
      <w:sz w:val="24"/>
      <w:szCs w:val="24"/>
      <w:lang w:val="zh-CN" w:bidi="zh-CN"/>
    </w:rPr>
  </w:style>
  <w:style w:type="character" w:customStyle="1" w:styleId="37">
    <w:name w:val="批注框文本 Char"/>
    <w:basedOn w:val="25"/>
    <w:link w:val="14"/>
    <w:semiHidden/>
    <w:qFormat/>
    <w:uiPriority w:val="99"/>
    <w:rPr>
      <w:sz w:val="18"/>
      <w:szCs w:val="18"/>
    </w:rPr>
  </w:style>
  <w:style w:type="character" w:customStyle="1" w:styleId="38">
    <w:name w:val="页脚 Char"/>
    <w:basedOn w:val="25"/>
    <w:link w:val="15"/>
    <w:qFormat/>
    <w:uiPriority w:val="99"/>
    <w:rPr>
      <w:sz w:val="18"/>
      <w:szCs w:val="18"/>
    </w:rPr>
  </w:style>
  <w:style w:type="character" w:customStyle="1" w:styleId="39">
    <w:name w:val="页眉 Char"/>
    <w:basedOn w:val="25"/>
    <w:link w:val="16"/>
    <w:qFormat/>
    <w:uiPriority w:val="99"/>
    <w:rPr>
      <w:sz w:val="18"/>
      <w:szCs w:val="18"/>
    </w:rPr>
  </w:style>
  <w:style w:type="character" w:customStyle="1" w:styleId="40">
    <w:name w:val="批注主题 Char"/>
    <w:basedOn w:val="35"/>
    <w:link w:val="22"/>
    <w:semiHidden/>
    <w:qFormat/>
    <w:uiPriority w:val="99"/>
    <w:rPr>
      <w:b/>
      <w:bCs/>
      <w:kern w:val="2"/>
      <w:sz w:val="21"/>
      <w:szCs w:val="22"/>
    </w:rPr>
  </w:style>
  <w:style w:type="character" w:customStyle="1" w:styleId="41">
    <w:name w:val="表三级标题 Char"/>
    <w:basedOn w:val="25"/>
    <w:link w:val="42"/>
    <w:qFormat/>
    <w:uiPriority w:val="0"/>
    <w:rPr>
      <w:rFonts w:ascii="Times New Roman" w:hAnsi="Times New Roman" w:cs="Times New Roman"/>
      <w:b/>
      <w:sz w:val="24"/>
      <w:szCs w:val="24"/>
    </w:rPr>
  </w:style>
  <w:style w:type="paragraph" w:customStyle="1" w:styleId="42">
    <w:name w:val="表三级标题"/>
    <w:basedOn w:val="1"/>
    <w:link w:val="41"/>
    <w:qFormat/>
    <w:uiPriority w:val="0"/>
    <w:pPr>
      <w:spacing w:line="360" w:lineRule="auto"/>
      <w:ind w:firstLine="482" w:firstLineChars="200"/>
    </w:pPr>
    <w:rPr>
      <w:rFonts w:ascii="Times New Roman" w:hAnsi="Times New Roman" w:cs="Times New Roman"/>
      <w:b/>
      <w:sz w:val="24"/>
      <w:szCs w:val="24"/>
    </w:rPr>
  </w:style>
  <w:style w:type="character" w:styleId="43">
    <w:name w:val="Placeholder Text"/>
    <w:basedOn w:val="25"/>
    <w:semiHidden/>
    <w:qFormat/>
    <w:uiPriority w:val="99"/>
    <w:rPr>
      <w:color w:val="808080"/>
    </w:rPr>
  </w:style>
  <w:style w:type="character" w:customStyle="1" w:styleId="44">
    <w:name w:val="表二级标题 Char"/>
    <w:basedOn w:val="25"/>
    <w:link w:val="45"/>
    <w:qFormat/>
    <w:uiPriority w:val="0"/>
    <w:rPr>
      <w:rFonts w:ascii="Times New Roman" w:hAnsi="Times New Roman" w:cs="Times New Roman"/>
      <w:b/>
      <w:kern w:val="2"/>
      <w:sz w:val="24"/>
      <w:szCs w:val="24"/>
    </w:rPr>
  </w:style>
  <w:style w:type="paragraph" w:customStyle="1" w:styleId="45">
    <w:name w:val="表二级标题"/>
    <w:basedOn w:val="1"/>
    <w:link w:val="44"/>
    <w:qFormat/>
    <w:uiPriority w:val="0"/>
    <w:pPr>
      <w:spacing w:beforeLines="50" w:afterLines="50" w:line="360" w:lineRule="auto"/>
    </w:pPr>
    <w:rPr>
      <w:rFonts w:ascii="Times New Roman" w:hAnsi="Times New Roman" w:cs="Times New Roman"/>
      <w:b/>
      <w:sz w:val="24"/>
      <w:szCs w:val="24"/>
    </w:rPr>
  </w:style>
  <w:style w:type="character" w:customStyle="1" w:styleId="46">
    <w:name w:val="表正文 Char"/>
    <w:basedOn w:val="25"/>
    <w:link w:val="47"/>
    <w:qFormat/>
    <w:uiPriority w:val="0"/>
    <w:rPr>
      <w:rFonts w:ascii="Times New Roman" w:hAnsi="Times New Roman" w:cs="Times New Roman"/>
      <w:sz w:val="24"/>
      <w:szCs w:val="24"/>
    </w:rPr>
  </w:style>
  <w:style w:type="paragraph" w:customStyle="1" w:styleId="47">
    <w:name w:val="表正文"/>
    <w:basedOn w:val="1"/>
    <w:link w:val="46"/>
    <w:qFormat/>
    <w:uiPriority w:val="0"/>
    <w:pPr>
      <w:spacing w:line="360" w:lineRule="auto"/>
      <w:ind w:firstLine="480" w:firstLineChars="200"/>
    </w:pPr>
    <w:rPr>
      <w:rFonts w:ascii="Times New Roman" w:hAnsi="Times New Roman" w:cs="Times New Roman"/>
      <w:sz w:val="24"/>
      <w:szCs w:val="24"/>
    </w:rPr>
  </w:style>
  <w:style w:type="character" w:customStyle="1" w:styleId="48">
    <w:name w:val="图标标题 Char"/>
    <w:basedOn w:val="46"/>
    <w:link w:val="49"/>
    <w:qFormat/>
    <w:uiPriority w:val="0"/>
    <w:rPr>
      <w:rFonts w:ascii="宋体" w:hAnsi="宋体" w:cs="Times New Roman"/>
      <w:b/>
      <w:sz w:val="24"/>
      <w:szCs w:val="24"/>
    </w:rPr>
  </w:style>
  <w:style w:type="paragraph" w:customStyle="1" w:styleId="49">
    <w:name w:val="图标标题"/>
    <w:basedOn w:val="47"/>
    <w:link w:val="48"/>
    <w:qFormat/>
    <w:uiPriority w:val="0"/>
    <w:pPr>
      <w:ind w:firstLine="0" w:firstLineChars="0"/>
      <w:jc w:val="center"/>
    </w:pPr>
    <w:rPr>
      <w:b/>
    </w:rPr>
  </w:style>
  <w:style w:type="character" w:customStyle="1" w:styleId="50">
    <w:name w:val="表-一级标题 Char"/>
    <w:basedOn w:val="25"/>
    <w:link w:val="51"/>
    <w:qFormat/>
    <w:uiPriority w:val="0"/>
    <w:rPr>
      <w:rFonts w:ascii="Times New Roman" w:hAnsi="Times New Roman" w:cs="Times New Roman"/>
      <w:b/>
      <w:sz w:val="28"/>
    </w:rPr>
  </w:style>
  <w:style w:type="paragraph" w:customStyle="1" w:styleId="51">
    <w:name w:val="表-一级标题"/>
    <w:basedOn w:val="1"/>
    <w:link w:val="50"/>
    <w:qFormat/>
    <w:uiPriority w:val="0"/>
    <w:pPr>
      <w:outlineLvl w:val="0"/>
    </w:pPr>
    <w:rPr>
      <w:rFonts w:ascii="Times New Roman" w:hAnsi="Times New Roman" w:cs="Times New Roman"/>
      <w:b/>
      <w:sz w:val="28"/>
    </w:rPr>
  </w:style>
  <w:style w:type="character" w:customStyle="1" w:styleId="52">
    <w:name w:val="表内文字 Char"/>
    <w:basedOn w:val="48"/>
    <w:link w:val="53"/>
    <w:qFormat/>
    <w:uiPriority w:val="0"/>
    <w:rPr>
      <w:rFonts w:ascii="Times New Roman" w:hAnsi="Times New Roman" w:cs="Times New Roman"/>
      <w:b w:val="0"/>
      <w:sz w:val="24"/>
      <w:szCs w:val="21"/>
    </w:rPr>
  </w:style>
  <w:style w:type="paragraph" w:customStyle="1" w:styleId="53">
    <w:name w:val="表内文字"/>
    <w:basedOn w:val="49"/>
    <w:link w:val="52"/>
    <w:qFormat/>
    <w:uiPriority w:val="0"/>
    <w:pPr>
      <w:spacing w:line="240" w:lineRule="auto"/>
    </w:pPr>
    <w:rPr>
      <w:b w:val="0"/>
      <w:sz w:val="21"/>
      <w:szCs w:val="21"/>
    </w:rPr>
  </w:style>
  <w:style w:type="character" w:customStyle="1" w:styleId="54">
    <w:name w:val="font11"/>
    <w:basedOn w:val="25"/>
    <w:qFormat/>
    <w:uiPriority w:val="0"/>
    <w:rPr>
      <w:rFonts w:hint="eastAsia" w:ascii="宋体" w:hAnsi="宋体" w:eastAsia="宋体" w:cs="宋体"/>
      <w:color w:val="000000"/>
      <w:sz w:val="18"/>
      <w:szCs w:val="18"/>
      <w:u w:val="none"/>
    </w:rPr>
  </w:style>
  <w:style w:type="paragraph" w:customStyle="1" w:styleId="55">
    <w:name w:val="Default1"/>
    <w:link w:val="60"/>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styleId="56">
    <w:name w:val="List Paragraph"/>
    <w:basedOn w:val="1"/>
    <w:qFormat/>
    <w:uiPriority w:val="1"/>
    <w:pPr>
      <w:autoSpaceDE w:val="0"/>
      <w:autoSpaceDN w:val="0"/>
      <w:ind w:left="1821" w:hanging="602"/>
      <w:jc w:val="left"/>
    </w:pPr>
    <w:rPr>
      <w:rFonts w:ascii="宋体" w:hAnsi="宋体" w:eastAsia="宋体" w:cs="宋体"/>
      <w:kern w:val="0"/>
      <w:sz w:val="22"/>
      <w:lang w:val="zh-CN" w:bidi="zh-CN"/>
    </w:rPr>
  </w:style>
  <w:style w:type="paragraph" w:customStyle="1" w:styleId="57">
    <w:name w:val="Table Paragraph"/>
    <w:basedOn w:val="1"/>
    <w:qFormat/>
    <w:uiPriority w:val="1"/>
    <w:pPr>
      <w:autoSpaceDE w:val="0"/>
      <w:autoSpaceDN w:val="0"/>
      <w:jc w:val="left"/>
    </w:pPr>
    <w:rPr>
      <w:rFonts w:ascii="宋体" w:hAnsi="宋体" w:eastAsia="宋体" w:cs="宋体"/>
      <w:kern w:val="0"/>
      <w:sz w:val="22"/>
      <w:lang w:val="zh-CN" w:bidi="zh-CN"/>
    </w:rPr>
  </w:style>
  <w:style w:type="paragraph" w:customStyle="1" w:styleId="58">
    <w:name w:val="TOC 标题1"/>
    <w:basedOn w:val="4"/>
    <w:next w:val="1"/>
    <w:unhideWhenUsed/>
    <w:qFormat/>
    <w:uiPriority w:val="39"/>
    <w:pPr>
      <w:widowControl/>
      <w:spacing w:before="240" w:after="0" w:line="259" w:lineRule="auto"/>
      <w:jc w:val="left"/>
      <w:outlineLvl w:val="9"/>
    </w:pPr>
    <w:rPr>
      <w:rFonts w:ascii="Calibri Light" w:hAnsi="Calibri Light" w:eastAsia="宋体" w:cs="Times New Roman"/>
      <w:b w:val="0"/>
      <w:bCs w:val="0"/>
      <w:color w:val="2E75B5"/>
      <w:kern w:val="0"/>
      <w:sz w:val="32"/>
      <w:szCs w:val="32"/>
    </w:rPr>
  </w:style>
  <w:style w:type="table" w:customStyle="1" w:styleId="59">
    <w:name w:val="Table Normal"/>
    <w:unhideWhenUsed/>
    <w:qFormat/>
    <w:uiPriority w:val="2"/>
    <w:pPr>
      <w:widowControl w:val="0"/>
      <w:autoSpaceDE w:val="0"/>
      <w:autoSpaceDN w:val="0"/>
    </w:pPr>
    <w:rPr>
      <w:sz w:val="22"/>
      <w:szCs w:val="22"/>
      <w:lang w:val="en-US" w:eastAsia="en-US" w:bidi="ar-SA"/>
    </w:rPr>
    <w:tblPr>
      <w:tblCellMar>
        <w:top w:w="0" w:type="dxa"/>
        <w:left w:w="0" w:type="dxa"/>
        <w:bottom w:w="0" w:type="dxa"/>
        <w:right w:w="0" w:type="dxa"/>
      </w:tblCellMar>
    </w:tblPr>
  </w:style>
  <w:style w:type="character" w:customStyle="1" w:styleId="60">
    <w:name w:val="Default1 Char"/>
    <w:link w:val="55"/>
    <w:qFormat/>
    <w:uiPriority w:val="0"/>
    <w:rPr>
      <w:rFonts w:ascii="宋体" w:hAnsi="Times New Roman" w:eastAsia="宋体" w:cs="宋体"/>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emf"/><Relationship Id="rId10" Type="http://schemas.openxmlformats.org/officeDocument/2006/relationships/oleObject" Target="embeddings/oleObject1.bin"/><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http://www.deepbbs.org</Company>
  <Pages>54</Pages>
  <Words>29262</Words>
  <Characters>32502</Characters>
  <Lines>259</Lines>
  <Paragraphs>73</Paragraphs>
  <TotalTime>6</TotalTime>
  <ScaleCrop>false</ScaleCrop>
  <LinksUpToDate>false</LinksUpToDate>
  <CharactersWithSpaces>33235</CharactersWithSpaces>
  <Application>WPS Office_11.1.0.11115_F1E327BC-269C-435d-A152-05C5408002CA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2020-04-20T03:56:00Z</dcterms:created>
  <dc:creator>deeplm</dc:creator>
  <cp:lastModifiedBy>AboutcaT</cp:lastModifiedBy>
  <cp:lastPrinted>2021-03-07T05:25:00Z</cp:lastPrinted>
  <dcterms:modified xsi:type="dcterms:W3CDTF">2022-01-10T06:50:16Z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3FDDA875D6524FF6B6CC01347AC1D429</vt:lpwstr>
  </property>
</Properties>
</file>